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E4D7F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Беларусь Учреждение образования</w:t>
      </w:r>
      <w:r>
        <w:rPr>
          <w:rFonts w:ascii="Times New Roman" w:hAnsi="Times New Roman" w:cs="Times New Roman"/>
          <w:sz w:val="28"/>
          <w:szCs w:val="28"/>
        </w:rPr>
      </w:r>
    </w:p>
    <w:p w14:paraId="5B482266">
      <w:pPr>
        <w:pBdr/>
        <w:spacing/>
        <w:ind w:right="1015" w:lef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университет» Кафедра ИИТ</w:t>
      </w:r>
      <w:r>
        <w:rPr>
          <w:rFonts w:ascii="Times New Roman" w:hAnsi="Times New Roman" w:cs="Times New Roman"/>
          <w:sz w:val="28"/>
          <w:szCs w:val="28"/>
        </w:rPr>
      </w:r>
    </w:p>
    <w:p w14:paraId="1C721710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2105C0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750F7E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4248CA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DDC9C2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404C60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0187D5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B26B5B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DB2DEF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6C9B3EF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85A767">
      <w:pPr>
        <w:pBdr/>
        <w:spacing/>
        <w:ind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Лабораторная работа №2</w:t>
      </w:r>
      <w:r>
        <w:rPr>
          <w:rFonts w:ascii="Times New Roman" w:hAnsi="Times New Roman" w:cs="Times New Roman"/>
          <w:spacing w:val="-5"/>
          <w:sz w:val="28"/>
          <w:szCs w:val="28"/>
        </w:rPr>
      </w:r>
    </w:p>
    <w:p w14:paraId="37857167">
      <w:pPr>
        <w:pBdr/>
        <w:spacing/>
        <w:ind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«Модели решения задач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»</w:t>
      </w:r>
      <w:r>
        <w:rPr>
          <w:rFonts w:ascii="Times New Roman" w:hAnsi="Times New Roman" w:cs="Times New Roman"/>
          <w:spacing w:val="-2"/>
          <w:sz w:val="28"/>
          <w:szCs w:val="28"/>
        </w:rPr>
      </w:r>
    </w:p>
    <w:p w14:paraId="72768CB6">
      <w:pPr>
        <w:pStyle w:val="720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 теме: «Многослойный персептрон для задачи «исключающее ИЛИ» с числовыми классами: сравнение функций потерь MSE и Binary Cross-Entropy»</w:t>
      </w:r>
      <w:r>
        <w:rPr>
          <w:sz w:val="28"/>
          <w:szCs w:val="28"/>
        </w:rPr>
      </w:r>
    </w:p>
    <w:p w14:paraId="48177F38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603399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367FA5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3E6E7A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5974ED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9C7676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C14E75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F1E90D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619DAB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5481C6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A4B971">
      <w:pPr>
        <w:pBdr/>
        <w:spacing/>
        <w:ind w:right="520" w:left="648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Выполнил:  </w:t>
      </w:r>
      <w:r>
        <w:rPr>
          <w:rFonts w:ascii="Times New Roman" w:hAnsi="Times New Roman" w:cs="Times New Roman"/>
          <w:b/>
          <w:sz w:val="28"/>
          <w:szCs w:val="28"/>
        </w:rPr>
      </w:r>
    </w:p>
    <w:p w14:paraId="2EAF7FD4">
      <w:pPr>
        <w:pBdr/>
        <w:spacing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</w:t>
      </w:r>
      <w:r>
        <w:rPr>
          <w:rFonts w:ascii="Times New Roman" w:hAnsi="Times New Roman" w:cs="Times New Roman"/>
          <w:sz w:val="28"/>
          <w:szCs w:val="28"/>
        </w:rPr>
      </w:r>
    </w:p>
    <w:p w14:paraId="6BE12BC2">
      <w:pPr>
        <w:pBdr/>
        <w:spacing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  <w:r>
        <w:rPr>
          <w:rFonts w:ascii="Times New Roman" w:hAnsi="Times New Roman" w:cs="Times New Roman"/>
          <w:sz w:val="28"/>
          <w:szCs w:val="28"/>
        </w:rPr>
      </w:r>
    </w:p>
    <w:p w14:paraId="120BE1CD">
      <w:pPr>
        <w:pBdr/>
        <w:spacing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Дулько Д. А.</w:t>
      </w:r>
      <w:r>
        <w:rPr>
          <w:rFonts w:ascii="Times New Roman" w:hAnsi="Times New Roman" w:cs="Times New Roman"/>
          <w:sz w:val="28"/>
          <w:szCs w:val="28"/>
        </w:rPr>
      </w:r>
    </w:p>
    <w:p w14:paraId="2FDB030C">
      <w:pPr>
        <w:pBdr/>
        <w:spacing/>
        <w:ind w:right="520" w:left="648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b/>
          <w:sz w:val="28"/>
          <w:szCs w:val="28"/>
        </w:rPr>
      </w:r>
    </w:p>
    <w:p w14:paraId="29A55AE8">
      <w:pPr>
        <w:pBdr/>
        <w:spacing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Андренко К.В.</w:t>
      </w:r>
      <w:r>
        <w:rPr>
          <w:rFonts w:ascii="Times New Roman" w:hAnsi="Times New Roman" w:cs="Times New Roman"/>
          <w:sz w:val="28"/>
          <w:szCs w:val="28"/>
        </w:rPr>
      </w:r>
    </w:p>
    <w:p w14:paraId="0782429C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F5DC86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83475D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CF17F7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5D8EA1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6D766A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AF696E">
      <w:pPr>
        <w:pStyle w:val="71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F96AB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7673F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68CDA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AF448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  <w:sectPr>
          <w:footnotePr/>
          <w:endnotePr/>
          <w:type w:val="nextPage"/>
          <w:pgSz w:h="16840" w:orient="portrait" w:w="11910"/>
          <w:pgMar w:top="1134" w:right="907" w:bottom="1134" w:left="907" w:header="720" w:footer="720" w:gutter="0"/>
          <w:cols w:num="1" w:sep="0" w:space="720" w:equalWidth="1"/>
        </w:sectPr>
      </w:pPr>
      <w:r>
        <w:rPr>
          <w:rFonts w:ascii="Times New Roman" w:hAnsi="Times New Roman" w:cs="Times New Roman"/>
          <w:sz w:val="28"/>
          <w:szCs w:val="28"/>
        </w:rPr>
        <w:t xml:space="preserve"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Цель работы: на основе многослойного персептрона 2-2-1 из лабораторной работы №1 реализовать бинарную кросс-энтропию и сравнить обучение с MSE и BCE по скорости сходимости, точности восстановления исходной шкалы и устойчивости к начальным весам.</w:t>
      </w:r>
      <w:r/>
    </w:p>
    <w:p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Обучение сети</w:t>
      </w:r>
      <w:r/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Используются те же кл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ассы c0 = 7, c1 = -7 и четыре примера XOR, что и в первой работе. Входы делятся на 10. В обеих конфигурациях цели преобразуются по формуле t = (y - 7) / (-14), выход возвращается по формуле y = 7 - 14ŷ. Архитектура 2-2-1 и сигмоида на всех слоях сохранены.</w:t>
      </w:r>
      <w:r/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Суммарные ошибки по четырём примерам:</w:t>
      </w:r>
      <w:r/>
    </w:p>
    <w:p>
      <w:pPr>
        <w:widowControl w:val="true"/>
        <w:pBdr/>
        <w:spacing w:after="120" w:before="0" w:line="240" w:lineRule="auto"/>
        <w:ind w:right="0" w:firstLine="0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Es_MSE = ½Σ(ŷ - t)²;</w:t>
      </w:r>
      <w:r/>
    </w:p>
    <w:p>
      <w:pPr>
        <w:widowControl w:val="true"/>
        <w:pBdr/>
        <w:spacing w:after="120" w:before="0" w:line="240" w:lineRule="auto"/>
        <w:ind w:right="0" w:firstLine="0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Es_BCE = -Σ[t ln ŷ + (1 - t) ln(1 - ŷ)].</w:t>
      </w:r>
      <w:r/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BCE: ∂L/∂ŷ = (ŷ - t) / (ŷ(1 - ŷ)), а ∂ŷ/∂s = ŷ(1 - ŷ). Поэтому δ_out = ŷ - t. У MSE δ_out = (ŷ - t)ŷ(1 - ŷ). Для скрытого слоя в обоих случаях δ_hidden = δ_out W2 h(1 - h). Веса обновляются после вычисления обоих градиентов.</w:t>
      </w:r>
      <w:r/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Обучение последовательное, с перемешиванием примеров. Веса и смещения выбираются из [-0,5; 0,5]. Выполнены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запуски с seed 1, 2, 3, 4, 5, максимум 10 000 эпох. Для MSE шаг равен 0,5 и Ee = 0,005; для BCE шаг 0,3 и Ee = 0,01. Порог BCE выбран для более точного восстановления исходных значений, поэтому число эпох сравнивается с учётом разных требований к точности.</w:t>
      </w:r>
      <w:r/>
    </w:p>
    <w:p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Результаты обучения</w:t>
      </w:r>
      <w:r/>
    </w:p>
    <w:p w14:paraId="4E68733F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91250" cy="590724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06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91249" cy="5907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7.50pt;height:465.1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/>
          <w:color w:val="000000"/>
          <w:sz w:val="28"/>
        </w:rPr>
      </w:r>
      <w:r>
        <w:rPr>
          <w:rFonts w:ascii="Times New Roman" w:hAnsi="Times New Roman" w:eastAsia="Times New Roman"/>
          <w:b/>
          <w:color w:val="000000"/>
          <w:sz w:val="28"/>
        </w:rPr>
      </w:r>
      <w:r/>
    </w:p>
    <w:p w14:paraId="20D51ED1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/>
      </w:pP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</w:p>
    <w:p w14:paraId="017E7DDE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</w:p>
    <w:p w14:paraId="23C97E04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</w:p>
    <w:p w14:paraId="5CD5F5FC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</w:p>
    <w:p w14:paraId="7C1FF806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</w:p>
    <w:p w14:paraId="74BBE1A8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</w:p>
    <w:p w14:paraId="69D529C2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</w:p>
    <w:p w14:paraId="15BB5A11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</w:p>
    <w:p w14:paraId="20AEFAE1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</w:p>
    <w:p w14:paraId="4E89FB34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Визуализация</w:t>
      </w:r>
      <w:r/>
      <w:r/>
    </w:p>
    <w:p>
      <w:pPr>
        <w:keepNext w:val="true"/>
        <w:widowControl w:val="true"/>
        <w:pBdr/>
        <w:spacing w:after="0" w:before="0" w:line="240" w:lineRule="auto"/>
        <w:ind w:right="0" w:firstLine="0" w:left="0"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000" cy="355500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1_convergenc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88000" cy="355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7.87pt;height:279.9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 w:after="120" w:before="0" w:line="240" w:lineRule="auto"/>
        <w:ind w:right="0" w:firstLine="0" w:left="0"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1. Сходимость MSE и BCE</w:t>
      </w:r>
      <w:r/>
    </w:p>
    <w:p>
      <w:pPr>
        <w:keepNext w:val="true"/>
        <w:widowControl w:val="true"/>
        <w:pBdr/>
        <w:spacing w:after="0" w:before="0" w:line="240" w:lineRule="auto"/>
        <w:ind w:right="0" w:firstLine="0" w:left="0"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000" cy="3555000"/>
                <wp:effectExtent l="0" t="0" r="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2_epoch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88000" cy="355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7.87pt;height:279.9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 w:after="120" w:before="0" w:line="240" w:lineRule="auto"/>
        <w:ind w:right="0" w:firstLine="0" w:left="0"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2. Число эпох по пяти запускам</w:t>
      </w:r>
      <w:r/>
    </w:p>
    <w:p>
      <w:pPr>
        <w:keepNext w:val="true"/>
        <w:pageBreakBefore w:val="true"/>
        <w:widowControl w:val="true"/>
        <w:pBdr/>
        <w:spacing w:after="120" w:before="120" w:line="240" w:lineRule="auto"/>
        <w:ind w:right="0" w:firstLine="0" w:left="0"/>
        <w:jc w:val="left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Разделяющие поверхности и точность восстановления</w:t>
      </w:r>
      <w:r/>
    </w:p>
    <w:p>
      <w:pPr>
        <w:keepNext w:val="true"/>
        <w:widowControl w:val="true"/>
        <w:pBdr/>
        <w:spacing w:after="0" w:before="0" w:line="240" w:lineRule="auto"/>
        <w:ind w:right="0" w:firstLine="0" w:left="0"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4752000"/>
                <wp:effectExtent l="0" t="0" r="0" b="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3_surface_ma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000" cy="47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2pt;height:374.1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 w:after="120" w:before="0" w:line="240" w:lineRule="auto"/>
        <w:ind w:right="0" w:firstLine="0" w:left="0"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3. Карты выхода сети и средняя абсолютная ошибка</w:t>
      </w:r>
      <w:r/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кривых и карт выбраны успешные запуски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медианным числом эпох: MSE с seed 4, BCE с seed 1. Общая цветовая шкала [-7; 7] позволяет сравнивать выходы в исходных единицах. Чёрные линии показывают границы классов, точки отмечают обучающие примеры. MAE на диаграмме усреднена по всем пяти запускам.</w:t>
      </w:r>
      <w:r/>
    </w:p>
    <w:p>
      <w:pPr>
        <w:keepNext w:val="true"/>
        <w:pageBreakBefore w:val="true"/>
        <w:widowControl w:val="true"/>
        <w:pBdr/>
        <w:spacing w:after="120" w:before="120" w:line="240" w:lineRule="auto"/>
        <w:ind w:right="0" w:firstLine="0" w:left="0"/>
        <w:jc w:val="left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Ответы на вопросы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MSE достигла своего порога за 2125-2745 эпох, BCE за 3439-3887 эпох. Обе конфигурации сошлись в 5 запусках из 5. Для BCE задан более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строгий уровень точности и меньший шаг, поэтому общего вывода о преимуществе MSE по скорости сделать нельзя. Теоретическое преимущество BCE состоит в отсутствии множителя ŷ(1 - ŷ) в выходном градиенте, который уменьшает градиент MSE при насыщении сигмоиды.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Нормализация переводит цели 7 и -7 в метки 0 и 1, допустимые для сигмоиды и BCE. В первой работе цели уже нормализовались. Поэтому отдельного сравнения обучения с нормализацией и без неё здесь нет: изменились функция потерь, шаг и порог остановки.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Средняя MAE по пяти запускам равна 0,696 для MSE и 0,035 для BCE, точность классификации везде 100%. Ошибка исходной шкалы равна 14|ŷ - t|. При прим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ерно одинаковых ошибках четырёх примеров порог MSE 0,005 соответствует отклонению 0,05, а порог BCE 0,01 примерно 0,0025. Поэтому разница MAE связана в том числе с требованиями к точности. Обязательного ухудшения восстановления чисел при BCE не обнаружено.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Обе конфигурации достигли порога во всех пяти запусках. Число эпох MSE лежит в пределах 2125-2745, BCE в пределах 3439-3887. Случаев недостижения критерия не было. Это показывает устойчивость в данной серии, но не гарантирует сходимость при любом seed.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Линейная неразделимость сохранилась. Точки (7, 7) и (-7, -7) относятся к c0, а (7, -7) и (-7, 7) к c1. Классы занимают противоположные диагонали квадрата. В первой работе однослойная модель не смогла их разделить.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Выбор MSE или BCE изменяет процесс обучения, но не возможности однослойной сети. Для XOR с сигмоидными нейронами необходим скрытый слой. Обе функции потерь позволяют обучить сеть 2-2-1, поэтому вывод первой работы об архитектуре сохраняется.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На обеих картах видна диагональная полоса класса c1 = -7 между областями класса c0 = 7. Два скрыт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ых нейрона формируют её границы, все четыре обучающие точки разделены правильно. У BCE переход резче и выходы ближе к 7 и -7. Это согласуется с меньшей MAE при выбранном пороге. За пределами обучающей выборки истинные классы для произвольных пар не заданы.</w:t>
      </w:r>
      <w:r/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Вывод: реал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изовал обучение многослойного персептрона с MSE и BCE. Обе конфигурации сошлись в пяти запусках и правильно распознали примеры XOR. При выбранных порогах BCE дала меньшую MAE, а MSE достигла своего критерия быстрее. Необходимость скрытого слоя сохранилась.</w:t>
      </w:r>
      <w:r/>
    </w:p>
    <w:sectPr>
      <w:footnotePr/>
      <w:endnotePr/>
      <w:type w:val="nextPage"/>
      <w:pgSz w:h="16840" w:orient="portrait" w:w="11910"/>
      <w:pgMar w:top="1440" w:right="1080" w:bottom="1440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Microsoft Sans Serif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31E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6F07C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5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5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5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5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5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5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5"/>
    <w:link w:val="7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5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5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5"/>
    <w:link w:val="7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5"/>
    <w:link w:val="7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5"/>
    <w:link w:val="7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5"/>
    <w:link w:val="73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5"/>
    <w:link w:val="176"/>
    <w:uiPriority w:val="99"/>
    <w:pPr>
      <w:pBdr/>
      <w:spacing/>
      <w:ind/>
    </w:pPr>
  </w:style>
  <w:style w:type="paragraph" w:styleId="178">
    <w:name w:val="Footer"/>
    <w:basedOn w:val="70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5"/>
    <w:link w:val="178"/>
    <w:uiPriority w:val="99"/>
    <w:pPr>
      <w:pBdr/>
      <w:spacing/>
      <w:ind/>
    </w:pPr>
  </w:style>
  <w:style w:type="paragraph" w:styleId="180">
    <w:name w:val="Caption"/>
    <w:basedOn w:val="705"/>
    <w:next w:val="7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5"/>
    <w:next w:val="705"/>
    <w:uiPriority w:val="39"/>
    <w:unhideWhenUsed/>
    <w:pPr>
      <w:pBdr/>
      <w:spacing w:after="100"/>
      <w:ind/>
    </w:pPr>
  </w:style>
  <w:style w:type="paragraph" w:styleId="190">
    <w:name w:val="toc 2"/>
    <w:basedOn w:val="705"/>
    <w:next w:val="705"/>
    <w:uiPriority w:val="39"/>
    <w:unhideWhenUsed/>
    <w:pPr>
      <w:pBdr/>
      <w:spacing w:after="100"/>
      <w:ind w:left="220"/>
    </w:pPr>
  </w:style>
  <w:style w:type="paragraph" w:styleId="191">
    <w:name w:val="toc 3"/>
    <w:basedOn w:val="705"/>
    <w:next w:val="705"/>
    <w:uiPriority w:val="39"/>
    <w:unhideWhenUsed/>
    <w:pPr>
      <w:pBdr/>
      <w:spacing w:after="100"/>
      <w:ind w:left="440"/>
    </w:pPr>
  </w:style>
  <w:style w:type="paragraph" w:styleId="192">
    <w:name w:val="toc 4"/>
    <w:basedOn w:val="705"/>
    <w:next w:val="705"/>
    <w:uiPriority w:val="39"/>
    <w:unhideWhenUsed/>
    <w:pPr>
      <w:pBdr/>
      <w:spacing w:after="100"/>
      <w:ind w:left="660"/>
    </w:pPr>
  </w:style>
  <w:style w:type="paragraph" w:styleId="193">
    <w:name w:val="toc 5"/>
    <w:basedOn w:val="705"/>
    <w:next w:val="705"/>
    <w:uiPriority w:val="39"/>
    <w:unhideWhenUsed/>
    <w:pPr>
      <w:pBdr/>
      <w:spacing w:after="100"/>
      <w:ind w:left="880"/>
    </w:pPr>
  </w:style>
  <w:style w:type="paragraph" w:styleId="194">
    <w:name w:val="toc 6"/>
    <w:basedOn w:val="705"/>
    <w:next w:val="705"/>
    <w:uiPriority w:val="39"/>
    <w:unhideWhenUsed/>
    <w:pPr>
      <w:pBdr/>
      <w:spacing w:after="100"/>
      <w:ind w:left="1100"/>
    </w:pPr>
  </w:style>
  <w:style w:type="paragraph" w:styleId="195">
    <w:name w:val="toc 7"/>
    <w:basedOn w:val="705"/>
    <w:next w:val="705"/>
    <w:uiPriority w:val="39"/>
    <w:unhideWhenUsed/>
    <w:pPr>
      <w:pBdr/>
      <w:spacing w:after="100"/>
      <w:ind w:left="1320"/>
    </w:pPr>
  </w:style>
  <w:style w:type="paragraph" w:styleId="196">
    <w:name w:val="toc 8"/>
    <w:basedOn w:val="705"/>
    <w:next w:val="705"/>
    <w:uiPriority w:val="39"/>
    <w:unhideWhenUsed/>
    <w:pPr>
      <w:pBdr/>
      <w:spacing w:after="100"/>
      <w:ind w:left="1540"/>
    </w:pPr>
  </w:style>
  <w:style w:type="paragraph" w:styleId="197">
    <w:name w:val="toc 9"/>
    <w:basedOn w:val="705"/>
    <w:next w:val="70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5"/>
    <w:next w:val="705"/>
    <w:uiPriority w:val="99"/>
    <w:unhideWhenUsed/>
    <w:pPr>
      <w:pBdr/>
      <w:spacing w:after="0" w:afterAutospacing="0"/>
      <w:ind/>
    </w:pPr>
  </w:style>
  <w:style w:type="paragraph" w:styleId="705" w:default="1">
    <w:name w:val="Normal"/>
    <w:uiPriority w:val="0"/>
    <w:qFormat/>
    <w:pPr>
      <w:widowControl w:val="false"/>
      <w:pBdr/>
      <w:spacing w:after="0" w:line="240" w:lineRule="auto"/>
      <w:ind/>
    </w:pPr>
    <w:rPr>
      <w:rFonts w:ascii="Microsoft Sans Serif" w:hAnsi="Microsoft Sans Serif" w:eastAsia="Microsoft Sans Serif" w:cs="Microsoft Sans Serif"/>
      <w:sz w:val="22"/>
      <w:szCs w:val="22"/>
      <w:lang w:val="ru-RU" w:eastAsia="en-US" w:bidi="ar-SA"/>
      <w14:ligatures w14:val="none"/>
    </w:rPr>
  </w:style>
  <w:style w:type="paragraph" w:styleId="706">
    <w:name w:val="Heading 1"/>
    <w:basedOn w:val="705"/>
    <w:next w:val="705"/>
    <w:link w:val="72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707">
    <w:name w:val="Heading 2"/>
    <w:basedOn w:val="705"/>
    <w:next w:val="705"/>
    <w:link w:val="72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708">
    <w:name w:val="Heading 3"/>
    <w:basedOn w:val="705"/>
    <w:next w:val="705"/>
    <w:link w:val="72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709">
    <w:name w:val="Heading 4"/>
    <w:basedOn w:val="705"/>
    <w:next w:val="705"/>
    <w:link w:val="72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10">
    <w:name w:val="Heading 5"/>
    <w:basedOn w:val="705"/>
    <w:next w:val="705"/>
    <w:link w:val="72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104862" w:themeColor="accent1" w:themeShade="BF"/>
    </w:rPr>
  </w:style>
  <w:style w:type="paragraph" w:styleId="711">
    <w:name w:val="Heading 6"/>
    <w:basedOn w:val="705"/>
    <w:next w:val="705"/>
    <w:link w:val="72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12">
    <w:name w:val="Heading 7"/>
    <w:basedOn w:val="705"/>
    <w:next w:val="705"/>
    <w:link w:val="73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13">
    <w:name w:val="Heading 8"/>
    <w:basedOn w:val="705"/>
    <w:next w:val="705"/>
    <w:link w:val="73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4">
    <w:name w:val="Heading 9"/>
    <w:basedOn w:val="705"/>
    <w:next w:val="705"/>
    <w:link w:val="73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715" w:default="1">
    <w:name w:val="Default Paragraph Font"/>
    <w:uiPriority w:val="1"/>
    <w:semiHidden/>
    <w:unhideWhenUsed/>
    <w:pPr>
      <w:pBdr/>
      <w:spacing/>
      <w:ind/>
    </w:pPr>
  </w:style>
  <w:style w:type="table" w:styleId="716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17">
    <w:name w:val="HTML Code"/>
    <w:basedOn w:val="715"/>
    <w:uiPriority w:val="99"/>
    <w:semiHidden/>
    <w:unhideWhenUsed/>
    <w:qFormat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718">
    <w:name w:val="Body Text"/>
    <w:basedOn w:val="705"/>
    <w:link w:val="742"/>
    <w:uiPriority w:val="1"/>
    <w:semiHidden/>
    <w:unhideWhenUsed/>
    <w:qFormat/>
    <w:pPr>
      <w:pBdr/>
      <w:spacing/>
      <w:ind/>
    </w:pPr>
    <w:rPr>
      <w:sz w:val="16"/>
      <w:szCs w:val="16"/>
    </w:rPr>
  </w:style>
  <w:style w:type="paragraph" w:styleId="719">
    <w:name w:val="Title"/>
    <w:basedOn w:val="705"/>
    <w:next w:val="705"/>
    <w:link w:val="733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0">
    <w:name w:val="Normal (Web)"/>
    <w:basedOn w:val="705"/>
    <w:uiPriority w:val="99"/>
    <w:unhideWhenUsed/>
    <w:qFormat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721">
    <w:name w:val="Subtitle"/>
    <w:basedOn w:val="705"/>
    <w:next w:val="705"/>
    <w:link w:val="734"/>
    <w:uiPriority w:val="11"/>
    <w:qFormat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22">
    <w:name w:val="HTML Preformatted"/>
    <w:basedOn w:val="705"/>
    <w:link w:val="745"/>
    <w:uiPriority w:val="99"/>
    <w:semiHidden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sz w:val="20"/>
      <w:szCs w:val="20"/>
      <w:lang w:eastAsia="en-GB"/>
    </w:rPr>
  </w:style>
  <w:style w:type="table" w:styleId="723">
    <w:name w:val="Table Grid"/>
    <w:basedOn w:val="71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24" w:customStyle="1">
    <w:name w:val="Заголовок 1 Знак"/>
    <w:basedOn w:val="715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725" w:customStyle="1">
    <w:name w:val="Заголовок 2 Знак"/>
    <w:basedOn w:val="715"/>
    <w:link w:val="70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726" w:customStyle="1">
    <w:name w:val="Заголовок 3 Знак"/>
    <w:basedOn w:val="715"/>
    <w:link w:val="708"/>
    <w:uiPriority w:val="9"/>
    <w:semiHidden/>
    <w:pPr>
      <w:pBdr/>
      <w:spacing/>
      <w:ind/>
    </w:pPr>
    <w:rPr>
      <w:rFonts w:eastAsiaTheme="majorEastAsia" w:cstheme="majorBidi"/>
      <w:color w:val="104862" w:themeColor="accent1" w:themeShade="BF"/>
      <w:sz w:val="28"/>
      <w:szCs w:val="28"/>
    </w:rPr>
  </w:style>
  <w:style w:type="character" w:styleId="727" w:customStyle="1">
    <w:name w:val="Заголовок 4 Знак"/>
    <w:basedOn w:val="715"/>
    <w:link w:val="709"/>
    <w:uiPriority w:val="9"/>
    <w:semiHidden/>
    <w:pPr>
      <w:pBdr/>
      <w:spacing/>
      <w:ind/>
    </w:pPr>
    <w:rPr>
      <w:rFonts w:eastAsiaTheme="majorEastAsia" w:cstheme="majorBidi"/>
      <w:i/>
      <w:iCs/>
      <w:color w:val="104862" w:themeColor="accent1" w:themeShade="BF"/>
    </w:rPr>
  </w:style>
  <w:style w:type="character" w:styleId="728" w:customStyle="1">
    <w:name w:val="Заголовок 5 Знак"/>
    <w:basedOn w:val="715"/>
    <w:link w:val="710"/>
    <w:uiPriority w:val="9"/>
    <w:semiHidden/>
    <w:pPr>
      <w:pBdr/>
      <w:spacing/>
      <w:ind/>
    </w:pPr>
    <w:rPr>
      <w:rFonts w:eastAsiaTheme="majorEastAsia" w:cstheme="majorBidi"/>
      <w:color w:val="104862" w:themeColor="accent1" w:themeShade="BF"/>
    </w:rPr>
  </w:style>
  <w:style w:type="character" w:styleId="729" w:customStyle="1">
    <w:name w:val="Заголовок 6 Знак"/>
    <w:basedOn w:val="715"/>
    <w:link w:val="71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730" w:customStyle="1">
    <w:name w:val="Заголовок 7 Знак"/>
    <w:basedOn w:val="715"/>
    <w:link w:val="71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731" w:customStyle="1">
    <w:name w:val="Заголовок 8 Знак"/>
    <w:basedOn w:val="715"/>
    <w:link w:val="713"/>
    <w:uiPriority w:val="9"/>
    <w:semiHidden/>
    <w:pPr>
      <w:pBdr/>
      <w:spacing/>
      <w:ind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732" w:customStyle="1">
    <w:name w:val="Заголовок 9 Знак"/>
    <w:basedOn w:val="715"/>
    <w:link w:val="714"/>
    <w:uiPriority w:val="9"/>
    <w:semiHidden/>
    <w:qFormat/>
    <w:pPr>
      <w:pBdr/>
      <w:spacing/>
      <w:ind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733" w:customStyle="1">
    <w:name w:val="Заголовок Знак"/>
    <w:basedOn w:val="715"/>
    <w:link w:val="719"/>
    <w:uiPriority w:val="10"/>
    <w:qFormat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34" w:customStyle="1">
    <w:name w:val="Подзаголовок Знак"/>
    <w:basedOn w:val="715"/>
    <w:link w:val="72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35">
    <w:name w:val="Quote"/>
    <w:basedOn w:val="705"/>
    <w:next w:val="705"/>
    <w:link w:val="7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36" w:customStyle="1">
    <w:name w:val="Цитата 2 Знак"/>
    <w:basedOn w:val="715"/>
    <w:link w:val="735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37">
    <w:name w:val="List Paragraph"/>
    <w:basedOn w:val="705"/>
    <w:uiPriority w:val="1"/>
    <w:qFormat/>
    <w:pPr>
      <w:pBdr/>
      <w:spacing/>
      <w:ind w:left="720"/>
      <w:contextualSpacing w:val="true"/>
    </w:pPr>
  </w:style>
  <w:style w:type="character" w:styleId="738" w:customStyle="1">
    <w:name w:val="Intense Emphasis"/>
    <w:basedOn w:val="715"/>
    <w:uiPriority w:val="21"/>
    <w:qFormat/>
    <w:pPr>
      <w:pBdr/>
      <w:spacing/>
      <w:ind/>
    </w:pPr>
    <w:rPr>
      <w:i/>
      <w:iCs/>
      <w:color w:val="104862" w:themeColor="accent1" w:themeShade="BF"/>
    </w:rPr>
  </w:style>
  <w:style w:type="paragraph" w:styleId="739">
    <w:name w:val="Intense Quote"/>
    <w:basedOn w:val="705"/>
    <w:next w:val="705"/>
    <w:link w:val="74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104862" w:themeColor="accent1" w:themeShade="BF"/>
    </w:rPr>
  </w:style>
  <w:style w:type="character" w:styleId="740" w:customStyle="1">
    <w:name w:val="Выделенная цитата Знак"/>
    <w:basedOn w:val="715"/>
    <w:link w:val="739"/>
    <w:uiPriority w:val="30"/>
    <w:pPr>
      <w:pBdr/>
      <w:spacing/>
      <w:ind/>
    </w:pPr>
    <w:rPr>
      <w:i/>
      <w:iCs/>
      <w:color w:val="104862" w:themeColor="accent1" w:themeShade="BF"/>
    </w:rPr>
  </w:style>
  <w:style w:type="character" w:styleId="741" w:customStyle="1">
    <w:name w:val="Intense Reference"/>
    <w:basedOn w:val="715"/>
    <w:uiPriority w:val="32"/>
    <w:qFormat/>
    <w:pPr>
      <w:pBdr/>
      <w:spacing/>
      <w:ind/>
    </w:pPr>
    <w:rPr>
      <w:b/>
      <w:bCs/>
      <w:smallCaps/>
      <w:color w:val="104862" w:themeColor="accent1" w:themeShade="BF"/>
      <w:spacing w:val="5"/>
    </w:rPr>
  </w:style>
  <w:style w:type="character" w:styleId="742" w:customStyle="1">
    <w:name w:val="Основной текст Знак"/>
    <w:basedOn w:val="715"/>
    <w:link w:val="718"/>
    <w:uiPriority w:val="1"/>
    <w:semiHidden/>
    <w:pPr>
      <w:pBdr/>
      <w:spacing/>
      <w:ind/>
    </w:pPr>
    <w:rPr>
      <w:rFonts w:ascii="Microsoft Sans Serif" w:hAnsi="Microsoft Sans Serif" w:eastAsia="Microsoft Sans Serif" w:cs="Microsoft Sans Serif"/>
      <w:sz w:val="16"/>
      <w:szCs w:val="16"/>
      <w:lang w:val="ru-RU"/>
      <w14:ligatures w14:val="none"/>
    </w:rPr>
  </w:style>
  <w:style w:type="paragraph" w:styleId="743" w:customStyle="1">
    <w:name w:val="ui-markdown__list-item"/>
    <w:basedOn w:val="705"/>
    <w:uiPriority w:val="0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744" w:customStyle="1">
    <w:name w:val="font-semibold"/>
    <w:basedOn w:val="715"/>
    <w:uiPriority w:val="0"/>
    <w:qFormat/>
    <w:pPr>
      <w:pBdr/>
      <w:spacing/>
      <w:ind/>
    </w:pPr>
  </w:style>
  <w:style w:type="character" w:styleId="745" w:customStyle="1">
    <w:name w:val="Стандартный HTML Знак"/>
    <w:basedOn w:val="715"/>
    <w:link w:val="722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en-GB"/>
      <w14:ligatures w14:val="none"/>
    </w:rPr>
  </w:style>
  <w:style w:type="paragraph" w:styleId="746">
    <w:name w:val="No Spacing"/>
    <w:uiPriority w:val="1"/>
    <w:qFormat/>
    <w:pPr>
      <w:widowControl w:val="false"/>
      <w:pBdr/>
      <w:spacing w:after="0" w:line="240" w:lineRule="auto"/>
      <w:ind/>
    </w:pPr>
    <w:rPr>
      <w:rFonts w:ascii="Microsoft Sans Serif" w:hAnsi="Microsoft Sans Serif" w:eastAsia="Microsoft Sans Serif" w:cs="Microsoft Sans Serif"/>
      <w:sz w:val="22"/>
      <w:szCs w:val="22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905F9417-C8C8-4949-9C1D-9CB39C265B5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>Модели решения задач в интеллектуальных системах</dc:subject>
  <dc:creator>Дулько Д. А.</dc:creator>
  <cp:keywords/>
  <dc:description/>
  <cp:revision>8</cp:revision>
  <dcterms:created xsi:type="dcterms:W3CDTF">2026-09-18T06:44:00Z</dcterms:created>
  <dcterms:modified xsi:type="dcterms:W3CDTF">2026-10-15T23:13:35Z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eyJoZGlkIjoiMGYyNmYzYzFmM2I5MjQ4MjFhZTZhZDJmYmYyYzAxZjIiLCJ1c2VySWQiOiI3NTc2ODQyMDg5ODc0In0=</vt:lpwstr>
  </property>
  <property fmtid="{D5CDD505-2E9C-101B-9397-08002B2CF9AE}" pid="3" name="KSOProductBuildVer">
    <vt:lpwstr>1049-12.1.0.28485</vt:lpwstr>
  </property>
  <property fmtid="{D5CDD505-2E9C-101B-9397-08002B2CF9AE}" pid="4" name="ICV">
    <vt:lpwstr>68C0797D3BB64B97B2EBB27B4A601E8A_13</vt:lpwstr>
  </property>
</Properties>
</file>