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Министерство образования Республики Беларусь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Учреждение образования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«Брестский государственный технический университет»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Кафедра ИИТ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  <w:br/>
        <w:br/>
        <w:br/>
        <w:br/>
        <w:br/>
        <w:br/>
        <w:br/>
        <w:br/>
        <w:br/>
        <w:br/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Лабораторная работа №2</w:t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Cs/>
          <w:color w:val="000000"/>
          <w:sz w:val="28"/>
          <w:szCs w:val="28"/>
          <w:lang w:val="ru-RU" w:eastAsia="en-US" w:bidi="ar-SA"/>
        </w:rPr>
        <w:t>По дисциплине: «Модели решения задач в интеллектуальных системах»</w:t>
      </w:r>
    </w:p>
    <w:p>
      <w:pPr>
        <w:pStyle w:val="Standard"/>
        <w:spacing w:before="0" w:after="0"/>
        <w:jc w:val="center"/>
        <w:rPr>
          <w:lang w:val="ru-RU" w:eastAsia="en-US" w:bidi="ar-SA"/>
        </w:rPr>
      </w:pPr>
      <w:r>
        <w:rPr>
          <w:rFonts w:ascii="Times New Roman" w:hAnsi="Times New Roman"/>
          <w:bCs/>
          <w:color w:val="000000"/>
          <w:sz w:val="28"/>
          <w:szCs w:val="28"/>
          <w:lang w:val="ru-RU" w:eastAsia="en-US" w:bidi="ar-SA"/>
        </w:rPr>
        <w:t>Тема: «Многослойный персептрон для задачи «исключающее ИЛИ» с числовыми классами: сравнение функций потерь MSE и Binary Cross-Entropy»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b/>
          <w:bCs/>
          <w:sz w:val="28"/>
          <w:szCs w:val="28"/>
          <w:lang w:val="ru-RU" w:eastAsia="en-US" w:bidi="ar-SA"/>
        </w:rPr>
        <w:br/>
      </w: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  <w:br/>
        <w:br/>
        <w:br/>
        <w:br/>
        <w:br/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Выполнил: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Студент 4 курса 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Группы ИИ-25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Ящук М.Ю.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ru-RU" w:eastAsia="en-US" w:bidi="ar-SA"/>
        </w:rPr>
        <w:t>Проверила:</w:t>
      </w:r>
    </w:p>
    <w:p>
      <w:pPr>
        <w:pStyle w:val="Standard"/>
        <w:spacing w:lineRule="auto" w:line="240" w:before="0" w:after="0"/>
        <w:ind w:start="7920"/>
        <w:jc w:val="end"/>
        <w:rPr>
          <w:lang w:val="ru-RU" w:eastAsia="en-US" w:bidi="ar-SA"/>
        </w:r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Андренко К.В.</w:t>
      </w:r>
    </w:p>
    <w:p>
      <w:pPr>
        <w:pStyle w:val="Standard"/>
        <w:spacing w:lineRule="auto" w:line="240" w:before="0" w:after="240"/>
        <w:rPr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  <w:br/>
        <w:br/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240"/>
        <w:rPr>
          <w:rFonts w:ascii="Times New Roman" w:hAnsi="Times New Roman"/>
          <w:sz w:val="28"/>
          <w:szCs w:val="28"/>
          <w:lang w:val="ru-RU" w:eastAsia="en-US" w:bidi="ar-SA"/>
        </w:rPr>
      </w:pPr>
      <w:r>
        <w:rPr>
          <w:rFonts w:ascii="Times New Roman" w:hAnsi="Times New Roman"/>
          <w:sz w:val="28"/>
          <w:szCs w:val="28"/>
          <w:lang w:val="ru-RU" w:eastAsia="en-US" w:bidi="ar-SA"/>
        </w:rPr>
      </w:r>
    </w:p>
    <w:p>
      <w:pPr>
        <w:pStyle w:val="Standard"/>
        <w:spacing w:lineRule="auto" w:line="240" w:before="0" w:after="0"/>
        <w:jc w:val="center"/>
        <w:rPr>
          <w:lang w:val="ru-RU" w:eastAsia="en-US" w:bidi="ar-SA"/>
        </w:r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100" w:charSpace="0"/>
        </w:sectPr>
      </w:pPr>
      <w:r>
        <w:rPr>
          <w:rFonts w:ascii="Times New Roman" w:hAnsi="Times New Roman"/>
          <w:color w:val="000000"/>
          <w:sz w:val="28"/>
          <w:szCs w:val="28"/>
          <w:lang w:val="ru-RU" w:eastAsia="en-US" w:bidi="ar-SA"/>
        </w:rPr>
        <w:t>Брест 2026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 xml:space="preserve">Цель </w:t>
      </w: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>работы</w:t>
      </w: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 xml:space="preserve">: 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 w:eastAsia="en-US" w:bidi="ar-SA"/>
        </w:rPr>
        <w:t>на основе многослойного персептрона архитектуры 2-2-1, реализованного в Лабораторной работе №1 для задачи XOR с числовыми классами c0 и c1 из диапазона [−10; 10], реализовать альтернативную функцию потерь – бинарную кросс-энтропию (Binary Cross-Entropy, BCE) – и провести сравнительный анализ обучения сети с MSE (Лабораторная работа №1) и с BCE по скорости сходимости, качеству обучения и устойчивости к выбору начальных весов.</w:t>
      </w:r>
    </w:p>
    <w:p>
      <w:pPr>
        <w:pStyle w:val="Normal"/>
        <w:pBdr/>
        <w:shd w:val="clear" w:fill="auto"/>
        <w:tabs>
          <w:tab w:val="left" w:pos="720" w:leader="none"/>
        </w:tabs>
        <w:bidi w:val="0"/>
        <w:spacing w:lineRule="auto" w:line="360" w:before="0" w:after="0"/>
        <w:ind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sz w:val="26"/>
          <w:szCs w:val="26"/>
          <w:lang w:val="ru-RU" w:eastAsia="en-US" w:bidi="ar-SA"/>
        </w:rPr>
        <w:t xml:space="preserve">Задание:  </w:t>
      </w:r>
    </w:p>
    <w:p>
      <w:pPr>
        <w:pStyle w:val="Normal"/>
        <w:numPr>
          <w:ilvl w:val="0"/>
          <w:numId w:val="1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взять за основу код многослойного персептрона 2-2-1 из Лабораторной работы №1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2"/>
        </w:numPr>
        <w:pBdr/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поскольку BCE определена для выходов в диапазоне (0; 1), а целевые значения в вашем варианте – произвольные числа c0 и c1 из диапазона [−10; 10], реализовать нормализацию (масштабирование) целевых значений перед обучением и обратное преобразование выхода сети после обучения: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 xml:space="preserve"> </w:t>
      </w:r>
    </w:p>
    <w:p>
      <w:pPr>
        <w:pStyle w:val="Normal"/>
        <w:numPr>
          <w:ilvl w:val="0"/>
          <w:numId w:val="3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привести c0 и c1 к бинарным меткам 0 и 1;</w:t>
      </w:r>
    </w:p>
    <w:p>
      <w:pPr>
        <w:pStyle w:val="Normal"/>
        <w:numPr>
          <w:ilvl w:val="0"/>
          <w:numId w:val="3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обучать сеть на нормализованных целевых значениях с функцией потерь BCE;</w:t>
      </w:r>
    </w:p>
    <w:p>
      <w:pPr>
        <w:pStyle w:val="Normal"/>
        <w:numPr>
          <w:ilvl w:val="0"/>
          <w:numId w:val="3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при выводе результата преобразовывать выход сети ŷ ∈(0; 1) обратно в шкалу [c0; c1].</w:t>
      </w:r>
    </w:p>
    <w:p>
      <w:pPr>
        <w:pStyle w:val="Normal"/>
        <w:numPr>
          <w:ilvl w:val="0"/>
          <w:numId w:val="4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реализовать корректный градиент для связки BCE + сигмоида на выходном слое; для скрытого слоя градиент передаётся по стандартному правилу цепочки.</w:t>
      </w:r>
    </w:p>
    <w:p>
      <w:pPr>
        <w:pStyle w:val="Normal"/>
        <w:numPr>
          <w:ilvl w:val="0"/>
          <w:numId w:val="5"/>
        </w:numPr>
        <w:pBdr/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обучить сеть на полной таблице истинности своего варианта (4 примера) в двух конфигурац</w:t>
      </w:r>
      <w:bookmarkStart w:id="0" w:name="_GoBack"/>
      <w:bookmarkEnd w:id="0"/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иях:</w:t>
      </w:r>
    </w:p>
    <w:p>
      <w:pPr>
        <w:pStyle w:val="Normal"/>
        <w:numPr>
          <w:ilvl w:val="0"/>
          <w:numId w:val="6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highlight w:val="white"/>
          <w:lang w:val="ru-RU" w:eastAsia="en-US" w:bidi="ar-SA"/>
        </w:rPr>
        <w:t>конфигурация А (базовая, из ЛР №1):</w:t>
      </w: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MLP 2-2-1, функция потерь MSE, целевые значения – исходные c0/c1, выходной слой – сигмоида. Результаты можно взять из отчёта по ЛР №1 или, при необходимости, повторить обучение с фиксацией всех метрик.</w:t>
      </w:r>
    </w:p>
    <w:p>
      <w:pPr>
        <w:pStyle w:val="Normal"/>
        <w:numPr>
          <w:ilvl w:val="0"/>
          <w:numId w:val="6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highlight w:val="white"/>
          <w:lang w:val="ru-RU" w:eastAsia="en-US" w:bidi="ar-SA"/>
        </w:rPr>
        <w:t>конфигурация Б (новая):</w:t>
      </w: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MLP 2-2-1, функция потерь BCE, целевые значения – нормализованные (0/1), с последующим пересчётом выхода в шкалу [c0; c1].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72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Критерий остановки для обеих конфигураций одинаков – суммарная ошибка Es ≤ Ee (используйте то же значение Ee, что и в ЛР №1, либо согласуйте новое значение отдельно для MSE и для BCE, поскольку это разные по своей природе величины – обоснуйте выбор в отчёте)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7"/>
        </w:numPr>
        <w:pBdr/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для каждой конфигурации зафиксировать: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 xml:space="preserve"> </w:t>
      </w:r>
    </w:p>
    <w:p>
      <w:pPr>
        <w:pStyle w:val="Normal"/>
        <w:numPr>
          <w:ilvl w:val="0"/>
          <w:numId w:val="8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количество эпох до достижения критерия остановки (либо факт недостижения за максимально допустимое число эпох);</w:t>
      </w:r>
    </w:p>
    <w:p>
      <w:pPr>
        <w:pStyle w:val="Normal"/>
        <w:numPr>
          <w:ilvl w:val="0"/>
          <w:numId w:val="8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итоговую суммарную ошибку;</w:t>
      </w:r>
    </w:p>
    <w:p>
      <w:pPr>
        <w:pStyle w:val="Normal"/>
        <w:numPr>
          <w:ilvl w:val="0"/>
          <w:numId w:val="8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accuracy на всех 4 примерах таблицы истинности;</w:t>
      </w:r>
    </w:p>
    <w:p>
      <w:pPr>
        <w:pStyle w:val="Normal"/>
        <w:numPr>
          <w:ilvl w:val="0"/>
          <w:numId w:val="8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среднюю абсолютную ошибку в исходной шкале [c0; c1].</w:t>
      </w:r>
    </w:p>
    <w:p>
      <w:pPr>
        <w:pStyle w:val="Normal"/>
        <w:numPr>
          <w:ilvl w:val="0"/>
          <w:numId w:val="9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провести не менее 5 запусков обучения для каждой конфигурации с разной случайной инициализацией весов (менять seed) и сравнить устойчивость сходимости: в скольких из 5 запусков сеть достигла критерия остановки, и какой разброс по числу эпох наблюдается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10"/>
        </w:numPr>
        <w:pBdr/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построить общий график зависимости суммарной ошибки от номера эпохи для конфигурации А (MSE) и конфигурации Б (BCE) на одних осях (для представительного запуска каждой конфигурации)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11"/>
        </w:numPr>
        <w:pBdr/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реализовать блок визуализации результатов, включающий:</w:t>
      </w:r>
    </w:p>
    <w:p>
      <w:pPr>
        <w:pStyle w:val="Normal"/>
        <w:numPr>
          <w:ilvl w:val="0"/>
          <w:numId w:val="12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highlight w:val="white"/>
          <w:lang w:val="ru-RU" w:eastAsia="en-US" w:bidi="ar-SA"/>
        </w:rPr>
        <w:t>график сходимости</w:t>
      </w: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– суммарная ошибка Es от номера эпохи, конфигурации А и Б на одних осях, разными цветами/стилями линий, с обозначением порога Ee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12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highlight w:val="white"/>
          <w:lang w:val="ru-RU" w:eastAsia="en-US" w:bidi="ar-SA"/>
        </w:rPr>
        <w:t>диаграмму разброса числа эпох по 5 запускам</w:t>
      </w: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(bar chart или scatter) для конфигурации А и конфигурации Б – наглядно показывающую устойчивость сходимости из п. 6 (например, столбики числа эпох для каждого из 5 seed, сгруппированные по конфигурации; запуски, не достигшие критерия остановки, отметить отдельно, например штриховкой или отдельным цветом)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12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highlight w:val="white"/>
          <w:lang w:val="ru-RU" w:eastAsia="en-US" w:bidi="ar-SA"/>
        </w:rPr>
        <w:t xml:space="preserve">визуализацию разделяющей поверхности скрытого слоя </w:t>
      </w: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– для представительного обученного экземпляра каждой конфигурации построить на плоскости (A, B) карту выходного значения сети (heatmap или contour plot) с наложенными точками обучающей выборки (4 примера таблицы истинности), закрашенными по истинному классу. Диапазон осей A и B – [−10; 10] (весь допустимый диапазон входных значений). Для конфигурации Б цветовую шкалу можно строить как по нормализованному ŷ ∈(0; 1), так и по пересчитанному значению в шкале [c0; c1] – выбрать более наглядный вариант и обосновать выбор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12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26"/>
          <w:highlight w:val="white"/>
          <w:lang w:val="ru-RU" w:eastAsia="en-US" w:bidi="ar-SA"/>
        </w:rPr>
        <w:t>диаграмму сравнения точности восстановления шкалы</w:t>
      </w: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– столбчатую диаграмму средней абсолютной ошибки для конфигурации А и конфигурации Б, чтобы наглядно сопоставить точность регрессии к исходной шкале [c0; c1].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72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Каждый график должен иметь подписанные оси, заголовок и легенду (где применимо). Разделяющую поверхность и графики точности рекомендуется разместить рядом (например, subplot 2×2 или отдельными рисунками) для удобства сравнения в отчёте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>;</w:t>
      </w:r>
    </w:p>
    <w:p>
      <w:pPr>
        <w:pStyle w:val="Normal"/>
        <w:numPr>
          <w:ilvl w:val="0"/>
          <w:numId w:val="13"/>
        </w:numPr>
        <w:pBdr/>
        <w:shd w:val="clear" w:fill="auto"/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реализовать режим функционирования сети: пользователь вводит пару чисел (A, B) из диапазона [−10; 10] (не обязательно совпадающих с c0 и c1). Сеть должна выводить:</w:t>
      </w:r>
    </w:p>
    <w:p>
      <w:pPr>
        <w:pStyle w:val="Normal"/>
        <w:numPr>
          <w:ilvl w:val="0"/>
          <w:numId w:val="14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выход в нормализованной шкале ŷ ∈(0; 1) (с точностью до 4 знаков);</w:t>
      </w:r>
    </w:p>
    <w:p>
      <w:pPr>
        <w:pStyle w:val="Normal"/>
        <w:numPr>
          <w:ilvl w:val="0"/>
          <w:numId w:val="14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выход, пересчитанный в исходную шкалу [c0; c1] по формуле из п. 2;</w:t>
      </w:r>
    </w:p>
    <w:p>
      <w:pPr>
        <w:pStyle w:val="Normal"/>
        <w:numPr>
          <w:ilvl w:val="0"/>
          <w:numId w:val="14"/>
        </w:numPr>
        <w:pBdr/>
        <w:shd w:val="clear" w:fill="auto"/>
        <w:tabs>
          <w:tab w:val="left" w:pos="720" w:leader="none"/>
        </w:tabs>
        <w:bidi w:val="0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к какому классу (c0 или c1) ближе полученное значение.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72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26"/>
          <w:highlight w:val="white"/>
          <w:lang w:val="ru-RU" w:eastAsia="en-US" w:bidi="ar-SA"/>
        </w:rPr>
        <w:t>Продемонстрировать работу режима функционирования на всех 4 примерах исходной таблицы истинности и не менее чем на 2–3 дополнительных парах (A, B), не входящих в обучающую выборку.</w:t>
      </w:r>
      <w:r>
        <w:rPr>
          <w:rFonts w:cs="Times New Roman" w:ascii="Times New Roman" w:hAnsi="Times New Roman"/>
          <w:color w:val="000000"/>
          <w:sz w:val="26"/>
          <w:szCs w:val="26"/>
          <w:lang w:val="ru-RU" w:eastAsia="en-US" w:bidi="ar-SA"/>
        </w:rPr>
        <w:t xml:space="preserve"> </w:t>
      </w:r>
    </w:p>
    <w:p>
      <w:pPr>
        <w:pStyle w:val="normal1"/>
        <w:spacing w:lineRule="auto" w:line="240" w:before="280" w:after="280"/>
        <w:rPr>
          <w:lang w:val="ru-RU"/>
        </w:rPr>
      </w:pPr>
      <w:r>
        <w:rPr>
          <w:b/>
          <w:bCs/>
          <w:lang w:val="ru-RU"/>
        </w:rPr>
        <w:t>Вариант 14</w:t>
      </w:r>
      <w:sdt>
        <w:sdtPr>
          <w:tag w:val="goog_rdk_100"/>
          <w:id w:val="803806653"/>
        </w:sdtPr>
        <w:sdtContent>
          <w:r>
            <w:rPr>
              <w:b/>
              <w:bCs/>
              <w:lang w:val="ru-RU"/>
            </w:rPr>
          </w:r>
          <w:r>
            <w:rPr>
              <w:rFonts w:eastAsia="Gungsuh" w:cs="Gungsuh" w:ascii="Gungsuh" w:hAnsi="Gungsuh"/>
              <w:lang w:val="ru-RU"/>
            </w:rPr>
            <w:t xml:space="preserve"> (c0 = −5, c1 = 10)</w:t>
          </w:r>
        </w:sdtContent>
      </w:sdt>
    </w:p>
    <w:tbl>
      <w:tblPr>
        <w:tblStyle w:val="Table14"/>
        <w:tblW w:w="32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085"/>
        <w:gridCol w:w="1085"/>
        <w:gridCol w:w="1086"/>
      </w:tblGrid>
      <w:tr>
        <w:trPr/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A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B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A </w:t>
            </w:r>
            <w:r>
              <w:rPr>
                <w:rFonts w:eastAsia="Cambria Math" w:cs="Cambria Math" w:ascii="Cambria Math" w:hAnsi="Cambria Math"/>
                <w:b/>
                <w:bCs/>
                <w:lang w:val="ru-RU"/>
              </w:rPr>
              <w:t>⊕</w:t>
            </w:r>
            <w:r>
              <w:rPr>
                <w:b/>
                <w:bCs/>
                <w:lang w:val="ru-RU"/>
              </w:rPr>
              <w:t xml:space="preserve"> B</w:t>
            </w:r>
          </w:p>
        </w:tc>
      </w:tr>
      <w:tr>
        <w:trPr/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sdt>
              <w:sdtPr>
                <w:tag w:val="goog_rdk_101"/>
                <w:id w:val="-419526918"/>
              </w:sdtPr>
              <w:sdtContent>
                <w:r>
                  <w:rPr>
                    <w:rFonts w:eastAsia="Gungsuh" w:cs="Gungsuh" w:ascii="Gungsuh" w:hAnsi="Gungsuh"/>
                    <w:lang w:val="ru-RU"/>
                  </w:rPr>
                </w:r>
                <w:r>
                  <w:rPr>
                    <w:rFonts w:eastAsia="Gungsuh" w:cs="Gungsuh" w:ascii="Gungsuh" w:hAnsi="Gungsuh"/>
                    <w:lang w:val="ru-RU"/>
                  </w:rPr>
                  <w:t>−</w:t>
                </w:r>
                <w:r>
                  <w:rPr>
                    <w:rFonts w:eastAsia="Gungsuh" w:cs="Gungsuh" w:ascii="Gungsuh" w:hAnsi="Gungsuh"/>
                    <w:lang w:val="ru-RU"/>
                  </w:rPr>
                  <w:t>5</w:t>
                </w:r>
              </w:sdtContent>
            </w:sdt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sdt>
              <w:sdtPr>
                <w:tag w:val="goog_rdk_102"/>
                <w:id w:val="-406678732"/>
              </w:sdtPr>
              <w:sdtContent>
                <w:r>
                  <w:rPr>
                    <w:rFonts w:eastAsia="Gungsuh" w:cs="Gungsuh" w:ascii="Gungsuh" w:hAnsi="Gungsuh"/>
                    <w:lang w:val="ru-RU"/>
                  </w:rPr>
                </w:r>
                <w:r>
                  <w:rPr>
                    <w:rFonts w:eastAsia="Gungsuh" w:cs="Gungsuh" w:ascii="Gungsuh" w:hAnsi="Gungsuh"/>
                    <w:lang w:val="ru-RU"/>
                  </w:rPr>
                  <w:t>−</w:t>
                </w:r>
                <w:r>
                  <w:rPr>
                    <w:rFonts w:eastAsia="Gungsuh" w:cs="Gungsuh" w:ascii="Gungsuh" w:hAnsi="Gungsuh"/>
                    <w:lang w:val="ru-RU"/>
                  </w:rPr>
                  <w:t>5</w:t>
                </w:r>
              </w:sdtContent>
            </w:sdt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sdt>
              <w:sdtPr>
                <w:tag w:val="goog_rdk_103"/>
                <w:id w:val="-1429752468"/>
              </w:sdtPr>
              <w:sdtContent>
                <w:r>
                  <w:rPr>
                    <w:rFonts w:eastAsia="Gungsuh" w:cs="Gungsuh" w:ascii="Gungsuh" w:hAnsi="Gungsuh"/>
                    <w:lang w:val="ru-RU"/>
                  </w:rPr>
                </w:r>
                <w:r>
                  <w:rPr>
                    <w:rFonts w:eastAsia="Gungsuh" w:cs="Gungsuh" w:ascii="Gungsuh" w:hAnsi="Gungsuh"/>
                    <w:lang w:val="ru-RU"/>
                  </w:rPr>
                  <w:t>−</w:t>
                </w:r>
                <w:r>
                  <w:rPr>
                    <w:rFonts w:eastAsia="Gungsuh" w:cs="Gungsuh" w:ascii="Gungsuh" w:hAnsi="Gungsuh"/>
                    <w:lang w:val="ru-RU"/>
                  </w:rPr>
                  <w:t>5</w:t>
                </w:r>
              </w:sdtContent>
            </w:sdt>
          </w:p>
        </w:tc>
      </w:tr>
      <w:tr>
        <w:trPr/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sdt>
              <w:sdtPr>
                <w:tag w:val="goog_rdk_104"/>
                <w:id w:val="-1543534062"/>
              </w:sdtPr>
              <w:sdtContent>
                <w:r>
                  <w:rPr>
                    <w:rFonts w:eastAsia="Gungsuh" w:cs="Gungsuh" w:ascii="Gungsuh" w:hAnsi="Gungsuh"/>
                    <w:lang w:val="ru-RU"/>
                  </w:rPr>
                </w:r>
                <w:r>
                  <w:rPr>
                    <w:rFonts w:eastAsia="Gungsuh" w:cs="Gungsuh" w:ascii="Gungsuh" w:hAnsi="Gungsuh"/>
                    <w:lang w:val="ru-RU"/>
                  </w:rPr>
                  <w:t>−</w:t>
                </w:r>
                <w:r>
                  <w:rPr>
                    <w:rFonts w:eastAsia="Gungsuh" w:cs="Gungsuh" w:ascii="Gungsuh" w:hAnsi="Gungsuh"/>
                    <w:lang w:val="ru-RU"/>
                  </w:rPr>
                  <w:t>5</w:t>
                </w:r>
              </w:sdtContent>
            </w:sdt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>
        <w:trPr/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sdt>
              <w:sdtPr>
                <w:tag w:val="goog_rdk_105"/>
                <w:id w:val="-376397670"/>
              </w:sdtPr>
              <w:sdtContent>
                <w:r>
                  <w:rPr>
                    <w:rFonts w:eastAsia="Gungsuh" w:cs="Gungsuh" w:ascii="Gungsuh" w:hAnsi="Gungsuh"/>
                    <w:lang w:val="ru-RU"/>
                  </w:rPr>
                </w:r>
                <w:r>
                  <w:rPr>
                    <w:rFonts w:eastAsia="Gungsuh" w:cs="Gungsuh" w:ascii="Gungsuh" w:hAnsi="Gungsuh"/>
                    <w:lang w:val="ru-RU"/>
                  </w:rPr>
                  <w:t>−</w:t>
                </w:r>
                <w:r>
                  <w:rPr>
                    <w:rFonts w:eastAsia="Gungsuh" w:cs="Gungsuh" w:ascii="Gungsuh" w:hAnsi="Gungsuh"/>
                    <w:lang w:val="ru-RU"/>
                  </w:rPr>
                  <w:t>5</w:t>
                </w:r>
              </w:sdtContent>
            </w:sdt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</w:tr>
      <w:tr>
        <w:trPr/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10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jc w:val="center"/>
              <w:rPr>
                <w:lang w:val="ru-RU"/>
              </w:rPr>
            </w:pPr>
            <w:sdt>
              <w:sdtPr>
                <w:tag w:val="goog_rdk_106"/>
                <w:id w:val="1353833870"/>
              </w:sdtPr>
              <w:sdtContent>
                <w:r>
                  <w:rPr>
                    <w:rFonts w:eastAsia="Gungsuh" w:cs="Gungsuh" w:ascii="Gungsuh" w:hAnsi="Gungsuh"/>
                    <w:lang w:val="ru-RU"/>
                  </w:rPr>
                </w:r>
                <w:r>
                  <w:rPr>
                    <w:rFonts w:eastAsia="Gungsuh" w:cs="Gungsuh" w:ascii="Gungsuh" w:hAnsi="Gungsuh"/>
                    <w:lang w:val="ru-RU"/>
                  </w:rPr>
                  <w:t>−</w:t>
                </w:r>
                <w:r>
                  <w:rPr>
                    <w:rFonts w:eastAsia="Gungsuh" w:cs="Gungsuh" w:ascii="Gungsuh" w:hAnsi="Gungsuh"/>
                    <w:lang w:val="ru-RU"/>
                  </w:rPr>
                  <w:t>5</w:t>
                </w:r>
              </w:sdtContent>
            </w:sdt>
          </w:p>
        </w:tc>
      </w:tr>
    </w:tbl>
    <w:p>
      <w:pPr>
        <w:pStyle w:val="normal1"/>
        <w:spacing w:lineRule="auto" w:line="240" w:before="280" w:after="280"/>
        <w:rPr>
          <w:b/>
          <w:bCs/>
        </w:rPr>
      </w:pPr>
      <w:r>
        <w:rPr>
          <w:lang w:val="ru-RU"/>
        </w:rPr>
      </w:r>
    </w:p>
    <w:p>
      <w:pPr>
        <w:pStyle w:val="Normal"/>
        <w:pBdr/>
        <w:shd w:val="clear" w:fill="auto"/>
        <w:bidi w:val="0"/>
        <w:spacing w:lineRule="auto" w:line="240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  <w:t>Изменения в архитектуре и алгоритме относительно ЛР1: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 xml:space="preserve">Архитектура сети (2-2-1, сигмоида на всех слоях) не менялась. Изменения 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 w:eastAsia="en-US" w:bidi="ar-SA"/>
        </w:rPr>
        <w:t>–</w:t>
      </w: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 xml:space="preserve"> только в целевой функции и, дополнительно, во входной нормализации: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  <w:t>Нормализация целей (как и в ЛР1, поскольку сигмоида на выходе ограничена (0;1) и не может выдать −9 или 6):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rFonts w:ascii="Times New Roman" w:hAnsi="Times New Roman" w:cs="Times New Roman"/>
          <w:b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1967865" cy="701675"/>
            <wp:effectExtent l="0" t="0" r="0" b="0"/>
            <wp:docPr id="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865" cy="70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rFonts w:ascii="Times New Roman" w:hAnsi="Times New Roman" w:cs="Times New Roman"/>
          <w:b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  <w:t>Обратный пересчёт после обучения: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rFonts w:ascii="Times New Roman" w:hAnsi="Times New Roman" w:cs="Times New Roman"/>
          <w:b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2558415" cy="424180"/>
            <wp:effectExtent l="0" t="0" r="0" b="0"/>
            <wp:docPr id="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42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rFonts w:ascii="Times New Roman" w:hAnsi="Times New Roman" w:cs="Times New Roman"/>
          <w:b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/>
          <w:color w:val="000000"/>
          <w:sz w:val="26"/>
          <w:szCs w:val="30"/>
          <w:lang w:val="ru-RU" w:eastAsia="en-US" w:bidi="ar-SA"/>
        </w:rPr>
        <w:t>Вывод градиента для связки BCE + сигмоида (выходной слой):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>Потери для одного примера: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4688205" cy="501015"/>
            <wp:effectExtent l="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205" cy="50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>Цепное правило: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1379855" cy="563245"/>
            <wp:effectExtent l="0" t="0" r="0" b="0"/>
            <wp:docPr id="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855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>где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3397885" cy="668655"/>
            <wp:effectExtent l="0" t="0" r="0" b="0"/>
            <wp:docPr id="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885" cy="66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>Подставляем и сокращаем: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386705" cy="762000"/>
            <wp:effectExtent l="0" t="0" r="0" b="0"/>
            <wp:docPr id="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>Итог: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1482090" cy="427355"/>
            <wp:effectExtent l="0" t="0" r="0" b="0"/>
            <wp:docPr id="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090" cy="427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start"/>
        <w:rPr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30"/>
          <w:lang w:val="ru-RU" w:eastAsia="en-US" w:bidi="ar-SA"/>
        </w:rPr>
        <w:t>Градиент для скрытого слоя:</w:t>
      </w:r>
    </w:p>
    <w:p>
      <w:pPr>
        <w:pStyle w:val="Normal"/>
        <w:pBdr/>
        <w:shd w:val="clear" w:fill="auto"/>
        <w:bidi w:val="0"/>
        <w:spacing w:lineRule="auto" w:line="288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2512695" cy="457200"/>
            <wp:effectExtent l="0" t="0" r="0" b="0"/>
            <wp:docPr id="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Segoe UI" w:hAnsi="Segoe UI"/>
          <w:color w:val="000000"/>
          <w:sz w:val="18"/>
          <w:lang w:val="ru-RU" w:eastAsia="en-US" w:bidi="ar-SA"/>
        </w:rPr>
      </w:pPr>
      <w:r>
        <w:rPr>
          <w:rFonts w:ascii="Segoe UI" w:hAnsi="Segoe UI"/>
          <w:color w:val="000000"/>
          <w:sz w:val="18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30"/>
          <w:lang w:val="ru-RU" w:eastAsia="en-US" w:bidi="ar-SA"/>
        </w:rPr>
        <w:t>Блок визуализации:</w:t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  <w:t>График сходимости:</w:t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061585" cy="3376295"/>
            <wp:effectExtent l="0" t="0" r="0" b="0"/>
            <wp:docPr id="9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585" cy="337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  <w:t>Диаграмма числа эпох по 5 запускам:</w:t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235575" cy="3490595"/>
            <wp:effectExtent l="0" t="0" r="0" b="0"/>
            <wp:docPr id="1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575" cy="349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  <w:t>Разделяющая поверхность:</w:t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6636385" cy="2875915"/>
            <wp:effectExtent l="0" t="0" r="0" b="0"/>
            <wp:docPr id="1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6385" cy="287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rFonts w:ascii="Times New Roman" w:hAnsi="Times New Roman" w:cs="Times New Roman"/>
          <w:color w:val="000000"/>
          <w:sz w:val="26"/>
          <w:szCs w:val="30"/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color w:val="000000"/>
          <w:sz w:val="26"/>
          <w:szCs w:val="30"/>
          <w:lang w:val="ru-RU" w:eastAsia="en-US" w:bidi="ar-SA"/>
        </w:rPr>
        <w:t>Диаграмма MAE:</w:t>
      </w:r>
    </w:p>
    <w:p>
      <w:pPr>
        <w:pStyle w:val="Normal"/>
        <w:pBdr/>
        <w:shd w:val="clear" w:fill="auto"/>
        <w:bidi w:val="0"/>
        <w:spacing w:lineRule="auto" w:line="360" w:before="0" w:after="0"/>
        <w:ind w:hanging="0" w:start="0" w:end="0"/>
        <w:jc w:val="center"/>
        <w:rPr>
          <w:lang w:val="ru-RU" w:eastAsia="en-US" w:bidi="ar-SA"/>
        </w:rPr>
      </w:pPr>
      <w:r>
        <w:rPr>
          <w:lang w:val="ru-RU" w:eastAsia="en-US" w:bidi="ar-SA"/>
        </w:rPr>
        <w:drawing>
          <wp:inline distT="0" distB="0" distL="0" distR="0">
            <wp:extent cx="5036820" cy="3357880"/>
            <wp:effectExtent l="0" t="0" r="0" b="0"/>
            <wp:docPr id="12" name="Изображение 5" descr="plot_m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5" descr="plot_ma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357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000000"/>
          <w:sz w:val="26"/>
          <w:szCs w:val="26"/>
          <w:lang w:val="ru-RU" w:eastAsia="en-US" w:bidi="ar-SA"/>
        </w:rPr>
        <w:t>Вывод :</w:t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63110" cy="6801485"/>
            <wp:effectExtent l="0" t="0" r="0" b="0"/>
            <wp:wrapSquare wrapText="largest"/>
            <wp:docPr id="1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6801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0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Normal"/>
        <w:pBdr/>
        <w:shd w:val="clear" w:fill="auto"/>
        <w:bidi w:val="0"/>
        <w:spacing w:lineRule="auto" w:line="276" w:before="0" w:after="283"/>
        <w:ind w:hanging="0" w:start="0" w:end="0"/>
        <w:jc w:val="both"/>
        <w:rPr>
          <w:rFonts w:ascii="Times New Roman" w:hAnsi="Times New Roman" w:cs="Times New Roman"/>
          <w:b w:val="false"/>
          <w:bCs w:val="false"/>
          <w:color w:val="000000"/>
          <w:sz w:val="26"/>
          <w:szCs w:val="26"/>
          <w:lang w:val="ru-RU" w:eastAsia="en-US" w:bidi="ar-SA"/>
        </w:rPr>
      </w:pPr>
      <w:r>
        <w:rPr>
          <w:rFonts w:cs="Times New Roman" w:ascii="Times New Roman" w:hAnsi="Times New Roman"/>
          <w:b w:val="false"/>
          <w:bCs w:val="false"/>
          <w:color w:val="000000"/>
          <w:sz w:val="26"/>
          <w:szCs w:val="26"/>
          <w:lang w:val="ru-RU" w:eastAsia="en-US" w:bidi="ar-SA"/>
        </w:rPr>
      </w:r>
    </w:p>
    <w:p>
      <w:pPr>
        <w:pStyle w:val="BodyTex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Вопросы: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Какая функция потерь дала более быструю/устойчивую сходимость? </w:t>
      </w:r>
      <w:r>
        <w:rPr>
          <w:sz w:val="28"/>
          <w:szCs w:val="28"/>
          <w:lang w:val="ru-RU"/>
        </w:rPr>
        <w:t>BCE – кардинально быстрее (691–868 эпох против 6935–7698 у MSE, т.е. примерно в 10 раз) и заметно устойчивее: сошлись все 5 запусков, тогда как у MSE один из пяти (seed=3) застрял в локальном минимуме (Es≈0.25, accuracy 0.50, MAE 3.88) и не достиг порога за 10000 эпох. Это согласуется с теоретическим преимуществом BCE: градиент связки BCE+сигмоида равен просто (out−y) и не гаснет при насыщении выхода, тогда как у MSE градиент содержит множитель out(1−out), стремящийся к нулю при насыщении сигмоиды, – отсюда более медленное и менее надёжное обучение (эффект «исчезающего градиента»). Дополнительный фактор – разница порогов: Ee_MSE=0.001 для MSE и Ee_BCE=0.05 для BCE, поскольку это разные по природе величины.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Как нормализация целей повлияла на обучение по сравнению с обучением на «сырых» числах [−10;10]?</w:t>
      </w:r>
      <w:r>
        <w:rPr>
          <w:sz w:val="28"/>
          <w:szCs w:val="28"/>
          <w:lang w:val="ru-RU"/>
        </w:rPr>
        <w:t> Обучение напрямую на c0/c1 без нормализации с сигмоидой на выходе невозможно в принципе: сигмоида ограничена интервалом (0;1) и никогда не выдаст −5 или 10, поэтому суммарная ошибка застревает на уровне сотен и критерий Ee недостижим. Нормализация целей (приведение c0/c1 к 0/1 по формуле t=(y_real−c0)/(c1−c0)) – не опция, а обязательное условие корректной работы сигмоидного выхода. Дополнительно нормализация приводит входные и целевые значения к одному масштабу, что делает градиенты сопоставимыми по величине и ускоряет сходимость по сравнению с обучением на числах порядка десятков.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Точность восстановления шкалы [c0;c1]: MSE vs BCE, есть ли компромисс? </w:t>
      </w:r>
      <w:r>
        <w:rPr>
          <w:sz w:val="28"/>
          <w:szCs w:val="28"/>
          <w:lang w:val="ru-RU"/>
        </w:rPr>
        <w:t xml:space="preserve">MAE у BCE </w:t>
      </w:r>
      <w:r>
        <w:rPr>
          <w:strike w:val="false"/>
          <w:dstrike w:val="false"/>
          <w:sz w:val="28"/>
          <w:szCs w:val="28"/>
          <w:lang w:val="ru-RU"/>
        </w:rPr>
        <w:t>(0.186) меньше, чем у MSE (0</w:t>
      </w:r>
      <w:r>
        <w:rPr>
          <w:sz w:val="28"/>
          <w:szCs w:val="28"/>
          <w:lang w:val="ru-RU"/>
        </w:rPr>
        <w:t>.333), т.е. BCE выигрывает и по устойчивости классификации, и по точности регрессии к исходной шкале [−5;10]. Это объясняется тем, что BCE логарифмически штрафует «неуверенные» выходы и вынуждает сеть выдавать ŷ очень близко к 0 или 1, тогда как MSE с порогом Ee=0.001 останавливается при |t−y| порядка 0.02–0.03, и остаточная MAE в исходной шкале составляет ~0.33 (сигмоида асимптотически не достигает 0/1). Однако разрыв невелик (≈1.8×), поэтому в общем случае компромисс между удобством классификации (BCE) и прямым обучением на числах (MSE) сохраняется – он просто слабо проявляется на данной задаче с 4 точками.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Устойчивость к случайной инициализации весов?</w:t>
      </w:r>
      <w:r>
        <w:rPr>
          <w:sz w:val="28"/>
          <w:szCs w:val="28"/>
          <w:lang w:val="ru-RU"/>
        </w:rPr>
        <w:t> MSE – неустойчива: 1 из 5 запусков (seed=3) попал в локальный минимум с Es≈0.25, accuracy 0.50 и MAE 3.88, порог не был достигнут за 10000 эпох. BCE – устойчива: все 5 запусков сошлись к Ee=0.05 с близким числом эпох (разброс всего 691–868). Это подтверждает теоретическое преимущество BCE: его градиент не гаснет при насыщении выхода, поэтому траектория обучения меньше зависит от начальной инициализации и реже застревает в локальных минимумах.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Подтвердилось ли наблюдение о линейной неразделимости XOR независимо от числовых меток?</w:t>
      </w:r>
      <w:r>
        <w:rPr>
          <w:sz w:val="28"/>
          <w:szCs w:val="28"/>
          <w:lang w:val="ru-RU"/>
        </w:rPr>
        <w:t> Да, полностью: та же архитектура 2-2-1 со скрытым слоем успешно решает задачу для c0=−5/c1=10 (Вариант 14), как и для классического 0/1 в ЛР №1. Линейная неразделимость определяется структурой данных XOR (пары (c0,c0) и (c1,c1) против (c0,c1) и (c1,c0)), а не конкретными значениями меток классов. Замена числовых меток не меняет топологию задачи, поэтому однослойный персептрон по-прежнему не справится, а скрытый слой из 2 нейронов – справляется.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Как выбор функции потерь соотносится с необходимостью скрытого слоя? </w:t>
      </w:r>
      <w:r>
        <w:rPr>
          <w:sz w:val="28"/>
          <w:szCs w:val="28"/>
          <w:lang w:val="ru-RU"/>
        </w:rPr>
        <w:t>Никак не влияет на этот вывод – он определяется исключительно архитектурой. И MSE, и BCE обучались на одной и той же сети 2-2-1 со скрытым слоем; функция потерь меняет лишь скорость и устойчивость сходимости, но не принципиальную возможность разделить линейно неразделимые данные – это обеспечивает только наличие скрытого слоя. Иными словами, выбор MSE vs BCE – это вопрос «как быстро и надёжно», а выбор «один слой vs два слоя» – вопрос «возможно ли вообще». Первый не подменяет второй.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start="709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Что показывает визуализация разделяющей поверхности?</w:t>
      </w:r>
      <w:r>
        <w:rPr>
          <w:sz w:val="28"/>
          <w:szCs w:val="28"/>
          <w:lang w:val="ru-RU"/>
        </w:rPr>
        <w:t> Граница между классами имеет форму, характерную для XOR: две диагональные полосы класса c0=−5 (области, где A и B одновременно ≤ границы или одновременно ≥ границы) отделены от двух полос класса c1=10 (области, где A и B лежат по разные стороны от границы). Это соответствует ожидаемой для XOR форме – пересечению двух полуплоскостей, формируемых скрытым слоем из 2 нейронов. По расположению границы MSE и BCE визуально почти совпадают (решается одна и та же задача одной архитектурой); различие – в «резкости» карты значений: у BCE переходы цвета контрастнее из-за более сильного насыщения выхода (логарифмический штраф выталкивает ŷ к 0/1), у MSE – более плавный, размытый градиент.</w:t>
      </w:r>
    </w:p>
    <w:p>
      <w:pPr>
        <w:pStyle w:val="BodyTex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Style15"/>
        <w:spacing w:lineRule="auto" w:line="288" w:before="0" w:after="0"/>
        <w:jc w:val="both"/>
        <w:rPr>
          <w:lang w:val="ru-RU" w:eastAsia="en-US" w:bidi="ar-SA"/>
        </w:rPr>
      </w:pPr>
      <w:r>
        <w:rPr>
          <w:rFonts w:cs="Times New Roman" w:ascii="Times New Roman" w:hAnsi="Times New Roman"/>
          <w:b/>
          <w:bCs/>
          <w:color w:val="2E2C2F"/>
          <w:sz w:val="26"/>
          <w:szCs w:val="26"/>
          <w:lang w:val="ru-RU" w:eastAsia="en-US" w:bidi="ar-SA"/>
        </w:rPr>
        <w:t xml:space="preserve">Вывод: </w:t>
      </w:r>
      <w:r>
        <w:rPr>
          <w:rFonts w:cs="Times New Roman" w:ascii="Times New Roman" w:hAnsi="Times New Roman"/>
          <w:b w:val="false"/>
          <w:bCs w:val="false"/>
          <w:sz w:val="26"/>
          <w:szCs w:val="26"/>
          <w:lang w:val="ru-RU" w:eastAsia="en-US" w:bidi="ar-SA"/>
        </w:rPr>
        <w:t>реализовал альтернативную функцию потерь – бинарную кросс-энтропию (Binary Cross-Entropy, BCE) – и провёл сравнительный анализ обучения сети с MSE и с BCE по скорости сходимости, качеству обучения и устойчивости к выбору начальных весов.</w:t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Arial CYR">
    <w:charset w:val="cc" w:characterSet="windows-1251"/>
    <w:family w:val="swiss"/>
    <w:pitch w:val="variable"/>
  </w:font>
  <w:font w:name="Courier New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Symbol">
    <w:charset w:val="cc" w:characterSet="windows-1251"/>
    <w:family w:val="roman"/>
    <w:pitch w:val="variable"/>
  </w:font>
  <w:font w:name="Wingdings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swiss"/>
    <w:pitch w:val="variable"/>
  </w:font>
  <w:font w:name="Noto Sans">
    <w:charset w:val="cc" w:characterSet="windows-1251"/>
    <w:family w:val="swiss"/>
    <w:pitch w:val="variable"/>
  </w:font>
  <w:font w:name="Gungsuh">
    <w:charset w:val="cc" w:characterSet="windows-1251"/>
    <w:family w:val="roman"/>
    <w:pitch w:val="variable"/>
  </w:font>
  <w:font w:name="Cambria Math">
    <w:charset w:val="cc" w:characterSet="windows-1251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FreeSerif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99" w:semiHidden="0" w:unhideWhenUsed="0"/>
    <w:lsdException w:name="heading 1" w:uiPriority="99" w:semiHidden="0" w:unhideWhenUsed="0"/>
    <w:lsdException w:name="heading 2" w:uiPriority="9" w:qFormat="1"/>
    <w:lsdException w:name="heading 3" w:uiPriority="99" w:semiHidden="0" w:unhideWhenUsed="0"/>
    <w:lsdException w:name="heading 4" w:uiPriority="99" w:semiHidden="0" w:unhideWhenUsed="0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99"/>
    <w:lsdException w:name="annotation text" w:uiPriority="0" w:semiHidden="0" w:unhideWhenUsed="0"/>
    <w:lsdException w:name="header" w:uiPriority="99" w:semiHidden="0" w:unhideWhenUsed="0"/>
    <w:lsdException w:name="footer" w:uiPriority="99" w:semiHidden="0"/>
    <w:lsdException w:name="index heading" w:uiPriority="0" w:semiHidden="0" w:unhideWhenUsed="0"/>
    <w:lsdException w:name="caption" w:uiPriority="99" w:semiHidden="0" w:unhideWhenUsed="0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99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99"/>
    <w:lsdException w:name="endnote text" w:uiPriority="99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99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1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11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99" w:semiHidden="0"/>
    <w:lsdException w:name="FollowedHyperlink" w:uiPriority="99"/>
    <w:lsdException w:name="Strong" w:uiPriority="22" w:semiHidden="0" w:unhideWhenUsed="0" w:qFormat="1"/>
    <w:lsdException w:name="Emphasis" w:uiPriority="99" w:semiHidden="0" w:unhideWhenUsed="0"/>
    <w:lsdException w:name="Document Map" w:uiPriority="0" w:semiHidden="0" w:unhideWhenUsed="0"/>
    <w:lsdException w:name="Plain Text" w:uiPriority="99" w:qFormat="1"/>
    <w:lsdException w:name="E-mail Signature" w:uiPriority="0" w:semiHidden="0" w:unhideWhenUsed="0"/>
    <w:lsdException w:name="Normal (Web)" w:uiPriority="99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99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99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99" w:semiHidden="0" w:unhideWhenUsed="0"/>
    <w:lsdException w:name="Table Grid" w:uiPriority="59" w:semiHidden="0" w:unhideWhenUsed="0"/>
    <w:lsdException w:name="Table Theme" w:uiPriority="0" w:semiHidden="0" w:unhideWhenUsed="0"/>
    <w:lsdException w:name="Placeholder Text" w:uiPriority="99" w:semiHidden="0" w:unhideWhenUsed="0"/>
    <w:lsdException w:name="No Spacing" w:uiPriority="99" w:semiHidden="0" w:unhideWhenUsed="0"/>
    <w:lsdException w:name="List Paragraph" w:uiPriority="99" w:semiHidden="0" w:unhideWhenUsed="0"/>
    <w:lsdException w:name="Quote" w:uiPriority="29" w:semiHidden="0" w:unhideWhenUsed="0" w:qFormat="1"/>
    <w:lsdException w:name="Intense Quote" w:uiPriority="30" w:semiHidden="0" w:unhideWhenUsed="0" w:qFormat="1"/>
    <w:lsdException w:name="Light List Accent 2" w:uiPriority="61" w:semiHidden="0" w:unhideWhenUsed="0"/>
    <w:lsdException w:name="Light Shading Accent 3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</w:latentStyles>
  <w:style w:type="paragraph" w:styleId="Normal" w:default="1">
    <w:name w:val="Normal"/>
    <w:uiPriority w:val="99"/>
    <w:qFormat/>
    <w:pPr>
      <w:widowControl/>
      <w:suppressAutoHyphens w:val="false"/>
      <w:bidi w:val="0"/>
      <w:spacing w:before="0" w:after="0"/>
      <w:jc w:val="start"/>
    </w:pPr>
    <w:rPr>
      <w:rFonts w:ascii="Calibri" w:hAnsi="Calibri" w:eastAsia="Calibri" w:cs="Free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Style10"/>
    <w:next w:val="Textbody"/>
    <w:uiPriority w:val="99"/>
    <w:qFormat/>
    <w:pPr/>
    <w:rPr>
      <w:rFonts w:ascii="Liberation Serif" w:hAnsi="Liberation Serif" w:eastAsia="Adwaita Sans" w:cs="FreeSerif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paragraph" w:styleId="Heading3">
    <w:name w:val="heading 3"/>
    <w:basedOn w:val="Standard"/>
    <w:uiPriority w:val="99"/>
    <w:qFormat/>
    <w:pPr>
      <w:spacing w:lineRule="auto" w:line="240" w:before="280" w:after="280"/>
    </w:pPr>
    <w:rPr>
      <w:rFonts w:ascii="Times New Roman" w:hAnsi="Times New Roman" w:eastAsia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Standard"/>
    <w:next w:val="Textbody"/>
    <w:uiPriority w:val="99"/>
    <w:qFormat/>
    <w:pPr>
      <w:spacing w:before="280" w:after="280"/>
    </w:pPr>
    <w:rPr>
      <w:rFonts w:ascii="Arial CYR" w:hAnsi="Arial CYR" w:eastAsia="Arial CYR" w:cs="Arial CYR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" w:asciiTheme="majorHAnsi" w:cstheme="majorBidi" w:eastAsiaTheme="majorEastAsia" w:hAnsiTheme="majorHAnsi"/>
      <w:color w:themeColor="accent1" w:themeShade="80" w:val="1F4E7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themeShade="80" w:val="1F4E7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" w:asciiTheme="majorHAnsi" w:cstheme="majorBidi" w:eastAsiaTheme="majorEastAsia" w:hAnsiTheme="majorHAnsi"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 w:val="true"/>
      <w:keepLines/>
      <w:spacing w:before="200" w:after="0"/>
    </w:pPr>
    <w:rPr>
      <w:rFonts w:ascii="Calibri Light" w:hAnsi="Calibri Light" w:eastAsia="等线 Light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Style5">
    <w:name w:val="Символ сноски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1Char" w:customStyle="1">
    <w:name w:val="Heading 1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b/>
      <w:bCs/>
      <w:color w:themeColor="accent1" w:themeShade="bf" w:val="2E75B6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b/>
      <w:bCs/>
      <w:color w:themeColor="accent1" w:val="5B9BD5"/>
    </w:rPr>
  </w:style>
  <w:style w:type="character" w:styleId="Heading4Char" w:customStyle="1">
    <w:name w:val="Heading 4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b/>
      <w:bCs/>
      <w:i/>
      <w:iCs/>
      <w:color w:themeColor="accent1" w:val="5B9BD5"/>
    </w:rPr>
  </w:style>
  <w:style w:type="character" w:styleId="Heading5Char" w:customStyle="1">
    <w:name w:val="Heading 5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accent1" w:themeShade="80" w:val="1F4E79"/>
    </w:rPr>
  </w:style>
  <w:style w:type="character" w:styleId="Heading6Char" w:customStyle="1">
    <w:name w:val="Heading 6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themeShade="80" w:val="1F4E79"/>
    </w:rPr>
  </w:style>
  <w:style w:type="character" w:styleId="Heading7Char" w:customStyle="1">
    <w:name w:val="Heading 7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i/>
      <w:iCs/>
      <w:color w:themeColor="dark1" w:themeTint="fe" w:val="40404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8Char" w:customStyle="1">
    <w:name w:val="Heading 8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Heading9Char" w:customStyle="1">
    <w:name w:val="Heading 9 Char"/>
    <w:basedOn w:val="DefaultParagraphFont"/>
    <w:uiPriority w:val="9"/>
    <w:qFormat/>
    <w:rPr>
      <w:rFonts w:ascii="Calibri Light" w:hAnsi="Calibri Light" w:eastAsia="等线 Light" w:cs="" w:asciiTheme="majorHAnsi" w:cstheme="majorBidi" w:eastAsiaTheme="majorEastAsia" w:hAnsiTheme="majorHAnsi"/>
      <w:i/>
      <w:iCs/>
      <w:color w:themeColor="dark1" w:themeTint="fe" w:val="404040"/>
      <w:sz w:val="20"/>
      <w:szCs w:val="20"/>
      <w14:textFill>
        <w14:solidFill>
          <w14:schemeClr w14:val="dk1">
            <w14:lumMod w14:val="75000"/>
            <w14:lumOff w14:val="25000"/>
          </w14:schemeClr>
        </w14:solidFill>
      </w14:textFill>
    </w:rPr>
  </w:style>
  <w:style w:type="character" w:styleId="TitleChar" w:customStyle="1">
    <w:name w:val="Title Char"/>
    <w:basedOn w:val="DefaultParagraphFont"/>
    <w:uiPriority w:val="10"/>
    <w:qFormat/>
    <w:rPr>
      <w:rFonts w:ascii="Calibri Light" w:hAnsi="Calibri Light" w:eastAsia="等线 Light" w:cs="" w:asciiTheme="majorHAnsi" w:cstheme="majorBidi" w:eastAsiaTheme="majorEastAsia" w:hAnsiTheme="majorHAnsi"/>
      <w:color w:themeColor="text2" w:themeShade="bf" w:val="333F50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val="5B9BD5"/>
      <w:spacing w:val="15"/>
      <w:sz w:val="24"/>
      <w:szCs w:val="24"/>
    </w:rPr>
  </w:style>
  <w:style w:type="character" w:styleId="SubtleEmphasis" w:customStyle="1">
    <w:name w:val="Subtle Emphasis"/>
    <w:basedOn w:val="DefaultParagraphFont"/>
    <w:uiPriority w:val="19"/>
    <w:qFormat/>
    <w:rPr>
      <w:i/>
      <w:iCs/>
      <w:color w:themeColor="dark1" w:themeTint="fe" w:val="808080"/>
      <w14:textFill>
        <w14:solidFill>
          <w14:schemeClr w14:val="dk1">
            <w14:lumMod w14:val="50000"/>
            <w14:lumOff w14:val="50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b/>
      <w:bCs/>
      <w:i/>
      <w:iCs/>
      <w:color w:themeColor="accent1" w:val="5B9BD5"/>
    </w:rPr>
  </w:style>
  <w:style w:type="character" w:styleId="QuoteChar" w:customStyle="1">
    <w:name w:val="Quote Char"/>
    <w:basedOn w:val="DefaultParagraphFont"/>
    <w:link w:val="Quote"/>
    <w:uiPriority w:val="29"/>
    <w:qFormat/>
    <w:rPr>
      <w:i/>
      <w:iCs/>
      <w:color w:themeColor="dark1" w:val="000000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Pr>
      <w:b/>
      <w:bCs/>
      <w:i/>
      <w:iCs/>
      <w:color w:themeColor="accent1" w:val="5B9BD5"/>
    </w:rPr>
  </w:style>
  <w:style w:type="character" w:styleId="SubtleReference" w:customStyle="1">
    <w:name w:val="Subtle Reference"/>
    <w:basedOn w:val="DefaultParagraphFont"/>
    <w:uiPriority w:val="31"/>
    <w:qFormat/>
    <w:rPr>
      <w:smallCaps/>
      <w:color w:themeColor="accent2" w:val="ED7D31"/>
      <w:u w:val="single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themeColor="accent2" w:val="ED7D31"/>
      <w:spacing w:val="5"/>
      <w:u w:val="single"/>
    </w:rPr>
  </w:style>
  <w:style w:type="character" w:styleId="BookTitle" w:customStyle="1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FootnoteTextChar" w:customStyle="1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 w:customStyle="1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PlainTextChar" w:customStyle="1">
    <w:name w:val="Plain Text Char"/>
    <w:basedOn w:val="DefaultParagraphFont"/>
    <w:link w:val="PlainText"/>
    <w:uiPriority w:val="99"/>
    <w:qFormat/>
    <w:rPr>
      <w:rFonts w:ascii="Courier New" w:hAnsi="Courier New" w:cs="Courier New"/>
      <w:sz w:val="21"/>
      <w:szCs w:val="21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Internetlink" w:customStyle="1">
    <w:name w:val="Internet link"/>
    <w:basedOn w:val="DefaultParagraphFont"/>
    <w:uiPriority w:val="99"/>
    <w:qFormat/>
    <w:rPr>
      <w:color w:val="0000FF"/>
      <w:u w:val="single"/>
    </w:rPr>
  </w:style>
  <w:style w:type="character" w:styleId="StrongEmphasis" w:customStyle="1">
    <w:name w:val="Strong Emphasis"/>
    <w:basedOn w:val="DefaultParagraphFont"/>
    <w:uiPriority w:val="99"/>
    <w:qFormat/>
    <w:rPr>
      <w:b/>
      <w:bCs/>
    </w:rPr>
  </w:style>
  <w:style w:type="character" w:styleId="Style7" w:customStyle="1">
    <w:name w:val="Текст выноски Знак"/>
    <w:basedOn w:val="DefaultParagraphFont"/>
    <w:uiPriority w:val="99"/>
    <w:qFormat/>
    <w:rPr>
      <w:rFonts w:ascii="Segoe UI" w:hAnsi="Segoe UI" w:eastAsia="Segoe UI" w:cs="Segoe UI"/>
      <w:sz w:val="18"/>
      <w:szCs w:val="18"/>
      <w:lang w:val="ru-RU"/>
    </w:rPr>
  </w:style>
  <w:style w:type="character" w:styleId="Katex-mathml" w:customStyle="1">
    <w:name w:val="Katex-mathml"/>
    <w:basedOn w:val="DefaultParagraphFont"/>
    <w:uiPriority w:val="99"/>
    <w:qFormat/>
    <w:rPr/>
  </w:style>
  <w:style w:type="character" w:styleId="Mord" w:customStyle="1">
    <w:name w:val="Mord"/>
    <w:basedOn w:val="DefaultParagraphFont"/>
    <w:uiPriority w:val="99"/>
    <w:qFormat/>
    <w:rPr/>
  </w:style>
  <w:style w:type="character" w:styleId="PlaceholderText">
    <w:name w:val="Placeholder Text"/>
    <w:basedOn w:val="DefaultParagraphFont"/>
    <w:uiPriority w:val="99"/>
    <w:qFormat/>
    <w:rPr>
      <w:color w:val="808080"/>
    </w:rPr>
  </w:style>
  <w:style w:type="character" w:styleId="VisitedInternetLink" w:customStyle="1">
    <w:name w:val="Visited Internet Link"/>
    <w:basedOn w:val="DefaultParagraphFont"/>
    <w:uiPriority w:val="99"/>
    <w:qFormat/>
    <w:rPr>
      <w:color w:val="954F72"/>
      <w:u w:val="single"/>
    </w:rPr>
  </w:style>
  <w:style w:type="character" w:styleId="3" w:customStyle="1">
    <w:name w:val="Заголовок 3 Знак"/>
    <w:basedOn w:val="DefaultParagraphFont"/>
    <w:uiPriority w:val="99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Mbin" w:customStyle="1">
    <w:name w:val="Mbin"/>
    <w:basedOn w:val="DefaultParagraphFont"/>
    <w:uiPriority w:val="99"/>
    <w:qFormat/>
    <w:rPr/>
  </w:style>
  <w:style w:type="character" w:styleId="Vlist-s" w:customStyle="1">
    <w:name w:val="Vlist-s"/>
    <w:basedOn w:val="DefaultParagraphFont"/>
    <w:uiPriority w:val="99"/>
    <w:qFormat/>
    <w:rPr/>
  </w:style>
  <w:style w:type="character" w:styleId="Mrel" w:customStyle="1">
    <w:name w:val="Mrel"/>
    <w:basedOn w:val="DefaultParagraphFont"/>
    <w:uiPriority w:val="99"/>
    <w:qFormat/>
    <w:rPr/>
  </w:style>
  <w:style w:type="character" w:styleId="WW8Num7z0" w:customStyle="1">
    <w:name w:val="WW8Num7z0"/>
    <w:uiPriority w:val="99"/>
    <w:qFormat/>
    <w:rPr>
      <w:rFonts w:ascii="Symbol" w:hAnsi="Symbol" w:eastAsia="Symbol" w:cs="Symbol"/>
    </w:rPr>
  </w:style>
  <w:style w:type="character" w:styleId="WW8Num7z1" w:customStyle="1">
    <w:name w:val="WW8Num7z1"/>
    <w:uiPriority w:val="99"/>
    <w:qFormat/>
    <w:rPr>
      <w:rFonts w:ascii="Courier New" w:hAnsi="Courier New" w:eastAsia="Courier New" w:cs="Courier New"/>
    </w:rPr>
  </w:style>
  <w:style w:type="character" w:styleId="WW8Num7z2" w:customStyle="1">
    <w:name w:val="WW8Num7z2"/>
    <w:uiPriority w:val="99"/>
    <w:qFormat/>
    <w:rPr>
      <w:rFonts w:ascii="Wingdings" w:hAnsi="Wingdings" w:eastAsia="Wingdings" w:cs="Wingdings"/>
    </w:rPr>
  </w:style>
  <w:style w:type="character" w:styleId="Style8" w:customStyle="1">
    <w:name w:val="Маркеры"/>
    <w:uiPriority w:val="99"/>
    <w:qFormat/>
    <w:rPr>
      <w:rFonts w:ascii="OpenSymbol" w:hAnsi="OpenSymbol" w:eastAsia="OpenSymbol" w:cs="OpenSymbol"/>
    </w:rPr>
  </w:style>
  <w:style w:type="character" w:styleId="Style9">
    <w:name w:val="Символ нумерации"/>
    <w:qFormat/>
    <w:rPr/>
  </w:style>
  <w:style w:type="paragraph" w:styleId="Style10" w:customStyle="1">
    <w:name w:val="Заголовок"/>
    <w:basedOn w:val="Standard"/>
    <w:next w:val="Textbody"/>
    <w:uiPriority w:val="99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uiPriority w:val="99"/>
    <w:pPr/>
    <w:rPr>
      <w:rFonts w:cs="FreeSans"/>
    </w:rPr>
  </w:style>
  <w:style w:type="paragraph" w:styleId="Caption">
    <w:name w:val="caption"/>
    <w:basedOn w:val="Standard"/>
    <w:uiPriority w:val="99"/>
    <w:qFormat/>
    <w:pPr>
      <w:spacing w:before="120" w:after="120"/>
    </w:pPr>
    <w:rPr>
      <w:rFonts w:cs="FreeSans"/>
      <w:i/>
      <w:iCs/>
      <w:sz w:val="24"/>
      <w:szCs w:val="24"/>
    </w:rPr>
  </w:style>
  <w:style w:type="paragraph" w:styleId="Style11" w:customStyle="1">
    <w:name w:val="Указатель"/>
    <w:basedOn w:val="Standard"/>
    <w:uiPriority w:val="99"/>
    <w:qFormat/>
    <w:pPr/>
    <w:rPr>
      <w:rFonts w:cs="FreeSans"/>
      <w:sz w:val="24"/>
    </w:rPr>
  </w:style>
  <w:style w:type="paragraph" w:styleId="Standard" w:customStyle="1">
    <w:name w:val="Standard"/>
    <w:uiPriority w:val="99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Textbody" w:customStyle="1">
    <w:name w:val="Text body"/>
    <w:basedOn w:val="Standard"/>
    <w:uiPriority w:val="99"/>
    <w:qFormat/>
    <w:pPr>
      <w:spacing w:lineRule="auto" w:line="276" w:before="0" w:after="140"/>
    </w:pPr>
    <w:rPr/>
  </w:style>
  <w:style w:type="paragraph" w:styleId="BalloonText">
    <w:name w:val="Balloon Text"/>
    <w:basedOn w:val="Standard"/>
    <w:uiPriority w:val="99"/>
    <w:qFormat/>
    <w:pPr>
      <w:spacing w:lineRule="auto" w:line="240" w:before="0" w:after="0"/>
    </w:pPr>
    <w:rPr>
      <w:rFonts w:ascii="Segoe UI" w:hAnsi="Segoe UI" w:eastAsia="Segoe UI" w:cs="Segoe UI"/>
      <w:sz w:val="18"/>
      <w:szCs w:val="18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lineRule="auto" w:line="240" w:before="0" w:after="0"/>
    </w:pPr>
    <w:rPr>
      <w:rFonts w:ascii="Courier New" w:hAnsi="Courier New" w:cs="Courier New"/>
      <w:sz w:val="21"/>
      <w:szCs w:val="21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2" w:customStyle="1">
    <w:name w:val="Колонтитулы"/>
    <w:basedOn w:val="Standard"/>
    <w:uiPriority w:val="99"/>
    <w:qFormat/>
    <w:pPr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andard"/>
    <w:uiPriority w:val="99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5B9BD5" w:themeColor="accent1"/>
      </w:pBdr>
      <w:spacing w:lineRule="auto" w:line="240" w:before="0" w:after="300"/>
      <w:contextualSpacing/>
    </w:pPr>
    <w:rPr>
      <w:rFonts w:ascii="Calibri Light" w:hAnsi="Calibri Light" w:eastAsia="等线 Light" w:cs="" w:asciiTheme="majorHAnsi" w:cstheme="majorBidi" w:eastAsiaTheme="majorEastAsia" w:hAnsiTheme="majorHAnsi"/>
      <w:color w:themeColor="text2" w:themeShade="bf" w:val="333F50"/>
      <w:spacing w:val="5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pPr>
      <w:spacing w:lineRule="auto" w:line="240" w:before="0" w:after="0"/>
    </w:pPr>
    <w:rPr/>
  </w:style>
  <w:style w:type="paragraph" w:styleId="NormalWeb">
    <w:name w:val="Normal (Web)"/>
    <w:basedOn w:val="Standard"/>
    <w:uiPriority w:val="99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rFonts w:ascii="Calibri Light" w:hAnsi="Calibri Light" w:eastAsia="等线 Light" w:cs="" w:asciiTheme="majorHAnsi" w:cstheme="majorBidi" w:eastAsiaTheme="majorEastAsia" w:hAnsiTheme="majorHAnsi"/>
      <w:i/>
      <w:iCs/>
      <w:color w:themeColor="accent1" w:val="5B9BD5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5B9BD5" w:themeColor="accent1"/>
      </w:pBdr>
      <w:spacing w:before="200" w:after="280"/>
      <w:ind w:start="936" w:end="936"/>
    </w:pPr>
    <w:rPr>
      <w:b/>
      <w:bCs/>
      <w:i/>
      <w:iCs/>
      <w:color w:themeColor="accent1" w:val="5B9BD5"/>
    </w:rPr>
  </w:style>
  <w:style w:type="paragraph" w:styleId="user" w:customStyle="1">
    <w:name w:val="Заголовок (user)"/>
    <w:basedOn w:val="Standard"/>
    <w:next w:val="Textbody"/>
    <w:uiPriority w:val="99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1" w:customStyle="1">
    <w:name w:val="Указатель1"/>
    <w:basedOn w:val="Standard"/>
    <w:uiPriority w:val="99"/>
    <w:qFormat/>
    <w:pPr/>
    <w:rPr>
      <w:rFonts w:cs="FreeSans"/>
    </w:rPr>
  </w:style>
  <w:style w:type="paragraph" w:styleId="ListParagraph">
    <w:name w:val="List Paragraph"/>
    <w:basedOn w:val="Standard"/>
    <w:uiPriority w:val="99"/>
    <w:qFormat/>
    <w:pPr>
      <w:ind w:start="720"/>
    </w:pPr>
    <w:rPr>
      <w:lang w:val="en-US"/>
    </w:rPr>
  </w:style>
  <w:style w:type="paragraph" w:styleId="NoSpacing">
    <w:name w:val="No Spacing"/>
    <w:uiPriority w:val="99"/>
    <w:qFormat/>
    <w:pPr>
      <w:widowControl/>
      <w:bidi w:val="0"/>
      <w:spacing w:before="0" w:after="0"/>
      <w:jc w:val="start"/>
    </w:pPr>
    <w:rPr>
      <w:rFonts w:ascii="Calibri" w:hAnsi="Calibri" w:eastAsia="Calibri" w:cs="FreeSerif"/>
      <w:color w:val="auto"/>
      <w:kern w:val="0"/>
      <w:sz w:val="22"/>
      <w:szCs w:val="22"/>
      <w:lang w:val="ru-RU" w:eastAsia="en-US" w:bidi="ar-SA"/>
    </w:rPr>
  </w:style>
  <w:style w:type="paragraph" w:styleId="StandardWW" w:customStyle="1">
    <w:name w:val="Standard (WW)"/>
    <w:uiPriority w:val="99"/>
    <w:qFormat/>
    <w:pPr>
      <w:widowControl/>
      <w:bidi w:val="0"/>
      <w:spacing w:before="0" w:after="0"/>
      <w:jc w:val="start"/>
    </w:pPr>
    <w:rPr>
      <w:rFonts w:ascii="Liberation Serif" w:hAnsi="Liberation Serif" w:eastAsia="Noto Sans CJK SC" w:cs="Lohit Devanagari"/>
      <w:color w:val="auto"/>
      <w:kern w:val="0"/>
      <w:sz w:val="24"/>
      <w:szCs w:val="24"/>
      <w:lang w:val="ru-RU" w:eastAsia="zh-CN" w:bidi="hi-IN"/>
    </w:rPr>
  </w:style>
  <w:style w:type="paragraph" w:styleId="user1" w:customStyle="1">
    <w:name w:val="Фигура (user)"/>
    <w:basedOn w:val="Caption"/>
    <w:uiPriority w:val="99"/>
    <w:qFormat/>
    <w:pPr/>
    <w:rPr/>
  </w:style>
  <w:style w:type="paragraph" w:styleId="Style13" w:customStyle="1">
    <w:name w:val="Содержимое врезки"/>
    <w:basedOn w:val="Standard"/>
    <w:uiPriority w:val="99"/>
    <w:qFormat/>
    <w:pPr/>
    <w:rPr/>
  </w:style>
  <w:style w:type="paragraph" w:styleId="Style14" w:customStyle="1">
    <w:name w:val="Фигура"/>
    <w:basedOn w:val="Caption"/>
    <w:uiPriority w:val="99"/>
    <w:qFormat/>
    <w:pPr/>
    <w:rPr/>
  </w:style>
  <w:style w:type="paragraph" w:styleId="Style15" w:customStyle="1">
    <w:name w:val="Текст в заданном формате"/>
    <w:basedOn w:val="Standard"/>
    <w:uiPriority w:val="99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  <w:style w:type="paragraph" w:styleId="31" w:customStyle="1">
    <w:name w:val="Основной текст 31"/>
    <w:basedOn w:val="Standard"/>
    <w:uiPriority w:val="99"/>
    <w:qFormat/>
    <w:pPr>
      <w:jc w:val="both"/>
    </w:pPr>
    <w:rPr/>
  </w:style>
  <w:style w:type="paragraph" w:styleId="Style16" w:customStyle="1">
    <w:name w:val="Содержимое таблицы"/>
    <w:basedOn w:val="Standard"/>
    <w:uiPriority w:val="99"/>
    <w:qFormat/>
    <w:pPr>
      <w:widowControl w:val="false"/>
    </w:pPr>
    <w:rPr/>
  </w:style>
  <w:style w:type="paragraph" w:styleId="Style17" w:customStyle="1">
    <w:name w:val="Заголовок таблицы"/>
    <w:basedOn w:val="Style16"/>
    <w:uiPriority w:val="99"/>
    <w:qFormat/>
    <w:pPr>
      <w:jc w:val="center"/>
    </w:pPr>
    <w:rPr>
      <w:b/>
      <w:bCs/>
    </w:rPr>
  </w:style>
  <w:style w:type="paragraph" w:styleId="normal1">
    <w:name w:val="normal1"/>
    <w:qFormat/>
    <w:pPr>
      <w:widowControl/>
      <w:bidi w:val="0"/>
      <w:spacing w:before="0" w:after="0"/>
      <w:ind w:firstLine="709"/>
      <w:jc w:val="both"/>
    </w:pPr>
    <w:rPr>
      <w:rFonts w:ascii="Calibri" w:hAnsi="Calibri" w:eastAsia="Calibri" w:cs="FreeSerif"/>
      <w:color w:val="auto"/>
      <w:kern w:val="0"/>
      <w:sz w:val="20"/>
      <w:szCs w:val="20"/>
      <w:lang w:val="ru-RU" w:eastAsia="zh-CN" w:bidi="hi-IN"/>
    </w:rPr>
  </w:style>
  <w:style w:type="table" w:default="1" w:styleId="1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Table Grid"/>
    <w:basedOn w:val="1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5">
    <w:name w:val="Light Shading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customStyle="1" w:styleId="126">
    <w:name w:val="Light List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customStyle="1" w:styleId="127">
    <w:name w:val="Light List Accent 1"/>
    <w:uiPriority w:val="61"/>
    <w:pPr>
      <w:spacing w:after="0" w:line="240" w:lineRule="auto"/>
    </w:pPr>
    <w:tblPr>
      <w:tblBorders>
        <w:top w:val="single" w:color="5B9BD5" w:themeColor="accent1" w:sz="8" w:space="0"/>
        <w:left w:val="single" w:color="5B9BD5" w:themeColor="accent1" w:sz="8" w:space="0"/>
        <w:bottom w:val="single" w:color="5B9BD5" w:themeColor="accent1" w:sz="8" w:space="0"/>
        <w:right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1" w:sz="6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  <w:tblStylePr w:type="band1Horz">
      <w:tblPr/>
      <w:tcPr>
        <w:tcBorders>
          <w:top w:val="single" w:color="5B9BD5" w:themeColor="accent1" w:sz="8" w:space="0"/>
          <w:left w:val="single" w:color="5B9BD5" w:themeColor="accent1" w:sz="8" w:space="0"/>
          <w:bottom w:val="single" w:color="5B9BD5" w:themeColor="accent1" w:sz="8" w:space="0"/>
          <w:right w:val="single" w:color="5B9BD5" w:themeColor="accent1" w:sz="8" w:space="0"/>
        </w:tcBorders>
      </w:tcPr>
    </w:tblStylePr>
  </w:style>
  <w:style w:type="table" w:styleId="128">
    <w:name w:val="Light Shading Accent 5"/>
    <w:uiPriority w:val="60"/>
    <w:pPr>
      <w:spacing w:after="0" w:line="240" w:lineRule="auto"/>
    </w:pPr>
    <w:rPr>
      <w:color w:val="2f5597" w:themeColor="accent5" w:themeShade="bf"/>
    </w:rPr>
    <w:tblPr>
      <w:tblBorders>
        <w:top w:val="single" w:color="4472C4" w:themeColor="accent5" w:sz="8" w:space="0"/>
        <w:bottom w:val="single" w:color="4472C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5" w:sz="8" w:space="0"/>
          <w:left w:val="nil"/>
          <w:bottom w:val="single" w:color="4472C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CF0" w:themeFill="accent5" w:themeFillTint="3f"/>
      </w:tcPr>
    </w:tblStylePr>
  </w:style>
  <w:style w:type="table" w:customStyle="1" w:styleId="129">
    <w:name w:val="Light Shading Accent 1"/>
    <w:uiPriority w:val="60"/>
    <w:pPr>
      <w:spacing w:after="0" w:line="240" w:lineRule="auto"/>
    </w:pPr>
    <w:rPr>
      <w:color w:val="2e75b6"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130">
    <w:name w:val="Light Shading Accent 6"/>
    <w:uiPriority w:val="60"/>
    <w:pPr>
      <w:spacing w:after="0" w:line="240" w:lineRule="auto"/>
    </w:pPr>
    <w:rPr>
      <w:color w:val="548235" w:themeColor="accent6" w:themeShade="bf"/>
    </w:rPr>
    <w:tblPr>
      <w:tblBorders>
        <w:top w:val="single" w:color="70AD47" w:themeColor="accent6" w:sz="8" w:space="0"/>
        <w:bottom w:val="single" w:color="70AD47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131">
    <w:name w:val="Light Shading Accent 3"/>
    <w:uiPriority w:val="60"/>
    <w:pPr>
      <w:spacing w:after="0" w:line="240" w:lineRule="auto"/>
    </w:pPr>
    <w:rPr>
      <w:color w:val="7c7c7c" w:themeColor="accent3" w:themeShade="bf"/>
    </w:rPr>
    <w:tblPr>
      <w:tblBorders>
        <w:top w:val="single" w:color="A5A5A5" w:themeColor="accent3" w:sz="8" w:space="0"/>
        <w:bottom w:val="single" w:color="A5A5A5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132">
    <w:name w:val="Light List Accent 2"/>
    <w:uiPriority w:val="61"/>
    <w:pPr>
      <w:spacing w:after="0" w:line="240" w:lineRule="auto"/>
    </w:pPr>
    <w:tblPr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Application>LibreOffice/26.2.1.2$Windows_X86_64 LibreOffice_project/620$Build-2</Application>
  <AppVersion>15.0000</AppVersion>
  <DocSecurity>4</DocSecurity>
  <Pages>9</Pages>
  <Words>1545</Words>
  <Characters>9123</Characters>
  <CharactersWithSpaces>10610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2026-09-25T06:50:20Z</dcterms:created>
  <dc:creator>BIL sinα</dc:creator>
  <dc:description/>
  <dc:language>ru-RU</dc:language>
  <cp:lastModifiedBy/>
  <dcterms:modified xsi:type="dcterms:W3CDTF">2026-10-02T02:29:09Z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E5E89E98557746629EAC8DCFFFC96F88_13</vt:lpwstr>
  </property>
  <property fmtid="{D5CDD505-2E9C-101B-9397-08002B2CF9AE}" pid="3" name="KSOProductBuildVer">
    <vt:lpwstr>1049-12.1.0.28485</vt:lpwstr>
  </property>
  <property fmtid="{D5CDD505-2E9C-101B-9397-08002B2CF9AE}" pid="4" name="KSOTemplateDocerSaveRecord">
    <vt:lpwstr>eyJoZGlkIjoiM2FmNDdlZmYwZDc0YTEzZDk2MTE0YjNjMmY5NDllNzciLCJ1c2VySWQiOiI3NTc2ODYwODUwNjkxIn0=</vt:lpwstr>
  </property>
</Properties>
</file>