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FF1FC" w14:textId="0549F644" w:rsidR="00B85107" w:rsidRPr="00B85107" w:rsidRDefault="00B85107" w:rsidP="00B85107">
      <w:r w:rsidRPr="00B85107">
        <w:t xml:space="preserve">1 </w:t>
      </w:r>
      <w:r>
        <w:t>Часть из схемы в формулу.</w:t>
      </w:r>
    </w:p>
    <w:p w14:paraId="631F9DAB" w14:textId="77777777" w:rsidR="00B85107" w:rsidRDefault="00B85107" w:rsidP="00B85107"/>
    <w:p w14:paraId="413E8636" w14:textId="017939F1" w:rsidR="00080D73" w:rsidRDefault="00B85107" w:rsidP="00B85107">
      <w:r>
        <w:rPr>
          <w:noProof/>
        </w:rPr>
        <w:drawing>
          <wp:inline distT="0" distB="0" distL="0" distR="0" wp14:anchorId="25FEC54D" wp14:editId="374E450B">
            <wp:extent cx="3093720" cy="2263140"/>
            <wp:effectExtent l="0" t="0" r="0" b="3810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35693" w14:textId="5CA2E75F" w:rsidR="00057E6B" w:rsidRDefault="00057E6B" w:rsidP="00AC0C62">
      <w:pPr>
        <w:ind w:left="709"/>
      </w:pPr>
      <w:r>
        <w:t xml:space="preserve">Верхний прямоугольник с «1» и кружком – элемент «НЕ». На вход поступает </w:t>
      </w:r>
      <w:r w:rsidRPr="00AC0C62">
        <w:rPr>
          <w:lang w:val="en-US"/>
        </w:rPr>
        <w:t>A</w:t>
      </w:r>
      <w:r>
        <w:t>, на выходе получаем А</w:t>
      </w:r>
      <w:r w:rsidRPr="00057E6B">
        <w:t>’</w:t>
      </w:r>
      <w:r>
        <w:t>.</w:t>
      </w:r>
    </w:p>
    <w:p w14:paraId="70FB156E" w14:textId="48A17A42" w:rsidR="00057E6B" w:rsidRDefault="00057E6B" w:rsidP="00AC0C62">
      <w:pPr>
        <w:ind w:left="709"/>
      </w:pPr>
      <w:r>
        <w:t xml:space="preserve">Верхний прямоугольник с </w:t>
      </w:r>
      <w:r w:rsidRPr="00057E6B">
        <w:t>“&amp;”</w:t>
      </w:r>
      <w:r>
        <w:t xml:space="preserve"> – элемент «И». На его входы приходят </w:t>
      </w:r>
      <w:r w:rsidRPr="00AC0C62">
        <w:rPr>
          <w:lang w:val="en-US"/>
        </w:rPr>
        <w:t>A</w:t>
      </w:r>
      <w:r w:rsidRPr="00057E6B">
        <w:t>’</w:t>
      </w:r>
      <w:r>
        <w:t xml:space="preserve"> и </w:t>
      </w:r>
      <w:r w:rsidRPr="00AC0C62">
        <w:rPr>
          <w:lang w:val="en-US"/>
        </w:rPr>
        <w:t>B</w:t>
      </w:r>
      <w:r>
        <w:t xml:space="preserve">. На выходе получаем конъюнкцию </w:t>
      </w:r>
      <w:r w:rsidRPr="00AC0C62">
        <w:rPr>
          <w:lang w:val="en-US"/>
        </w:rPr>
        <w:t>A</w:t>
      </w:r>
      <w:r w:rsidRPr="00057E6B">
        <w:t xml:space="preserve">’ ^ </w:t>
      </w:r>
      <w:r w:rsidRPr="00AC0C62">
        <w:rPr>
          <w:lang w:val="en-US"/>
        </w:rPr>
        <w:t>B</w:t>
      </w:r>
      <w:r>
        <w:t>.</w:t>
      </w:r>
    </w:p>
    <w:p w14:paraId="2FB6D0A7" w14:textId="2380C838" w:rsidR="00057E6B" w:rsidRPr="00057E6B" w:rsidRDefault="00057E6B" w:rsidP="00AC0C62">
      <w:pPr>
        <w:ind w:left="709"/>
      </w:pPr>
      <w:r>
        <w:t xml:space="preserve">Нижний прямоугольник с «1» и кружком: это элемент «НЕ». На вход поступает </w:t>
      </w:r>
      <w:r w:rsidRPr="00AC0C62">
        <w:rPr>
          <w:lang w:val="en-US"/>
        </w:rPr>
        <w:t>B</w:t>
      </w:r>
      <w:r>
        <w:t xml:space="preserve">, на выходе получаем </w:t>
      </w:r>
      <w:r w:rsidRPr="00AC0C62">
        <w:rPr>
          <w:lang w:val="en-US"/>
        </w:rPr>
        <w:t>B</w:t>
      </w:r>
      <w:r w:rsidRPr="00057E6B">
        <w:t>’.</w:t>
      </w:r>
    </w:p>
    <w:p w14:paraId="1D77DFFD" w14:textId="7637C7DB" w:rsidR="00057E6B" w:rsidRPr="00AC0C62" w:rsidRDefault="00057E6B" w:rsidP="00AC0C62">
      <w:pPr>
        <w:ind w:left="709"/>
        <w:rPr>
          <w:lang w:val="en-US"/>
        </w:rPr>
      </w:pPr>
      <w:r>
        <w:t>Нижний прямоугольник с «</w:t>
      </w:r>
      <w:r w:rsidRPr="00057E6B">
        <w:t>&amp;</w:t>
      </w:r>
      <w:r>
        <w:t xml:space="preserve">»: это элемент «И». На его входы приходят </w:t>
      </w:r>
      <w:r w:rsidRPr="00AC0C62">
        <w:rPr>
          <w:lang w:val="en-US"/>
        </w:rPr>
        <w:t>A</w:t>
      </w:r>
      <w:r>
        <w:t xml:space="preserve"> и </w:t>
      </w:r>
      <w:r w:rsidRPr="00AC0C62">
        <w:rPr>
          <w:lang w:val="en-US"/>
        </w:rPr>
        <w:t>B</w:t>
      </w:r>
      <w:r w:rsidRPr="00057E6B">
        <w:t>’.</w:t>
      </w:r>
      <w:r>
        <w:t xml:space="preserve"> На выходе получаем их произведение: </w:t>
      </w:r>
      <w:r w:rsidRPr="00AC0C62">
        <w:rPr>
          <w:lang w:val="en-US"/>
        </w:rPr>
        <w:t>A ^ B’.</w:t>
      </w:r>
    </w:p>
    <w:p w14:paraId="400F9C13" w14:textId="317A7FCB" w:rsidR="00057E6B" w:rsidRDefault="00057E6B" w:rsidP="00AC0C62">
      <w:pPr>
        <w:ind w:left="709"/>
      </w:pPr>
      <w:r>
        <w:t>Крайний правый прямоугольник с «1»: это элемент «ИЛИ». Он складывает сигналы от двух предыдущих блоков.</w:t>
      </w:r>
    </w:p>
    <w:p w14:paraId="6C5E1E74" w14:textId="465686D4" w:rsidR="00057E6B" w:rsidRPr="00AC0C62" w:rsidRDefault="00057E6B" w:rsidP="00B85107">
      <w:pPr>
        <w:rPr>
          <w:b/>
          <w:bCs/>
        </w:rPr>
      </w:pPr>
      <w:r w:rsidRPr="00AC0C62">
        <w:rPr>
          <w:b/>
          <w:bCs/>
        </w:rPr>
        <w:t>Получаем формулу: (</w:t>
      </w:r>
      <w:r w:rsidRPr="00AC0C62">
        <w:rPr>
          <w:b/>
          <w:bCs/>
          <w:lang w:val="en-US"/>
        </w:rPr>
        <w:t>A</w:t>
      </w:r>
      <w:r w:rsidRPr="00AC0C62">
        <w:rPr>
          <w:b/>
          <w:bCs/>
        </w:rPr>
        <w:t xml:space="preserve">’ ^ </w:t>
      </w:r>
      <w:r w:rsidRPr="00AC0C62">
        <w:rPr>
          <w:b/>
          <w:bCs/>
          <w:lang w:val="en-US"/>
        </w:rPr>
        <w:t>B</w:t>
      </w:r>
      <w:r w:rsidRPr="00AC0C62">
        <w:rPr>
          <w:b/>
          <w:bCs/>
        </w:rPr>
        <w:t xml:space="preserve">) </w:t>
      </w:r>
      <w:r w:rsidRPr="00AC0C62">
        <w:rPr>
          <w:b/>
          <w:bCs/>
          <w:lang w:val="en-US"/>
        </w:rPr>
        <w:t>v</w:t>
      </w:r>
      <w:r w:rsidRPr="00AC0C62">
        <w:rPr>
          <w:b/>
          <w:bCs/>
        </w:rPr>
        <w:t xml:space="preserve"> (</w:t>
      </w:r>
      <w:r w:rsidRPr="00AC0C62">
        <w:rPr>
          <w:b/>
          <w:bCs/>
          <w:lang w:val="en-US"/>
        </w:rPr>
        <w:t>A</w:t>
      </w:r>
      <w:r w:rsidRPr="00AC0C62">
        <w:rPr>
          <w:b/>
          <w:bCs/>
        </w:rPr>
        <w:t xml:space="preserve"> ^ </w:t>
      </w:r>
      <w:r w:rsidRPr="00AC0C62">
        <w:rPr>
          <w:b/>
          <w:bCs/>
          <w:lang w:val="en-US"/>
        </w:rPr>
        <w:t>B</w:t>
      </w:r>
      <w:r w:rsidRPr="00AC0C62">
        <w:rPr>
          <w:b/>
          <w:bCs/>
        </w:rPr>
        <w:t>’)</w:t>
      </w:r>
    </w:p>
    <w:p w14:paraId="22B07E9C" w14:textId="67F5F904" w:rsidR="00B85107" w:rsidRDefault="00B85107" w:rsidP="00B85107"/>
    <w:p w14:paraId="625F0BB2" w14:textId="1A40DA94" w:rsidR="00B85107" w:rsidRDefault="00B85107" w:rsidP="00B85107">
      <w:r>
        <w:rPr>
          <w:noProof/>
        </w:rPr>
        <w:lastRenderedPageBreak/>
        <w:drawing>
          <wp:inline distT="0" distB="0" distL="0" distR="0" wp14:anchorId="7FD7D426" wp14:editId="26AA0D08">
            <wp:extent cx="5859780" cy="4861560"/>
            <wp:effectExtent l="0" t="0" r="7620" b="0"/>
            <wp:docPr id="2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486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E109E" w14:textId="4E16AFF9" w:rsidR="00B85107" w:rsidRPr="005B00FE" w:rsidRDefault="005B00FE" w:rsidP="00B85107">
      <w:r>
        <w:t xml:space="preserve">Обозначим четыре входа сверху вниз как </w:t>
      </w:r>
      <w:r>
        <w:rPr>
          <w:lang w:val="en-US"/>
        </w:rPr>
        <w:t>A</w:t>
      </w:r>
      <w:r w:rsidRPr="005B00FE">
        <w:t xml:space="preserve"> </w:t>
      </w:r>
      <w:r>
        <w:rPr>
          <w:lang w:val="en-US"/>
        </w:rPr>
        <w:t>B</w:t>
      </w:r>
      <w:r w:rsidRPr="005B00FE">
        <w:t xml:space="preserve"> </w:t>
      </w:r>
      <w:r>
        <w:rPr>
          <w:lang w:val="en-US"/>
        </w:rPr>
        <w:t>C</w:t>
      </w:r>
      <w:r w:rsidRPr="005B00FE">
        <w:t xml:space="preserve"> </w:t>
      </w:r>
      <w:r>
        <w:rPr>
          <w:lang w:val="en-US"/>
        </w:rPr>
        <w:t>D</w:t>
      </w:r>
      <w:r w:rsidRPr="005B00FE">
        <w:t>.</w:t>
      </w:r>
    </w:p>
    <w:p w14:paraId="63BE7ACB" w14:textId="71309F7A" w:rsidR="005B00FE" w:rsidRPr="005B00FE" w:rsidRDefault="005B00FE" w:rsidP="00B85107">
      <w:pPr>
        <w:rPr>
          <w:lang w:val="en-US"/>
        </w:rPr>
      </w:pPr>
      <w:r w:rsidRPr="005B00FE">
        <w:rPr>
          <w:lang w:val="en-US"/>
        </w:rPr>
        <w:t>(</w:t>
      </w:r>
      <w:r>
        <w:rPr>
          <w:lang w:val="en-US"/>
        </w:rPr>
        <w:t>(A’ v B) v (B ^ C’)) v ((B’ v D’) ^ (C’ v D))</w:t>
      </w:r>
    </w:p>
    <w:p w14:paraId="0DB107A0" w14:textId="4B1F9197" w:rsidR="00B85107" w:rsidRDefault="00B85107" w:rsidP="00B85107">
      <w:r>
        <w:t>2 часть из формулы в схему</w:t>
      </w:r>
    </w:p>
    <w:p w14:paraId="152118C9" w14:textId="3306C400" w:rsidR="00B85107" w:rsidRDefault="00B85107" w:rsidP="00B85107">
      <w:pPr>
        <w:rPr>
          <w:rStyle w:val="mclose"/>
          <w:color w:val="333333"/>
          <w:sz w:val="29"/>
          <w:szCs w:val="29"/>
          <w:shd w:val="clear" w:color="auto" w:fill="FFFFFF"/>
          <w:lang w:val="en-US"/>
        </w:rPr>
      </w:pPr>
      <w:r>
        <w:rPr>
          <w:rFonts w:ascii="Arial" w:hAnsi="Arial" w:cs="Arial"/>
          <w:color w:val="333333"/>
          <w:shd w:val="clear" w:color="auto" w:fill="FFFFFF"/>
        </w:rPr>
        <w:t> </w:t>
      </w:r>
      <w:r>
        <w:rPr>
          <w:rStyle w:val="katex-mathml"/>
          <w:color w:val="333333"/>
          <w:sz w:val="29"/>
          <w:szCs w:val="29"/>
          <w:bdr w:val="none" w:sz="0" w:space="0" w:color="auto" w:frame="1"/>
          <w:shd w:val="clear" w:color="auto" w:fill="FFFFFF"/>
        </w:rPr>
        <w:t>(A</w:t>
      </w:r>
      <w:r>
        <w:rPr>
          <w:rStyle w:val="katex-mathml"/>
          <w:rFonts w:ascii="Cambria Math" w:hAnsi="Cambria Math" w:cs="Cambria Math"/>
          <w:color w:val="333333"/>
          <w:sz w:val="29"/>
          <w:szCs w:val="29"/>
          <w:bdr w:val="none" w:sz="0" w:space="0" w:color="auto" w:frame="1"/>
          <w:shd w:val="clear" w:color="auto" w:fill="FFFFFF"/>
        </w:rPr>
        <w:t>∧</w:t>
      </w:r>
      <w:r>
        <w:rPr>
          <w:rStyle w:val="katex-mathml"/>
          <w:color w:val="333333"/>
          <w:sz w:val="29"/>
          <w:szCs w:val="29"/>
          <w:bdr w:val="none" w:sz="0" w:space="0" w:color="auto" w:frame="1"/>
          <w:shd w:val="clear" w:color="auto" w:fill="FFFFFF"/>
        </w:rPr>
        <w:t>¬</w:t>
      </w:r>
      <w:proofErr w:type="gramStart"/>
      <w:r>
        <w:rPr>
          <w:rStyle w:val="katex-mathml"/>
          <w:color w:val="333333"/>
          <w:sz w:val="29"/>
          <w:szCs w:val="29"/>
          <w:bdr w:val="none" w:sz="0" w:space="0" w:color="auto" w:frame="1"/>
          <w:shd w:val="clear" w:color="auto" w:fill="FFFFFF"/>
        </w:rPr>
        <w:t>B)→</w:t>
      </w:r>
      <w:proofErr w:type="gramEnd"/>
      <w:r>
        <w:rPr>
          <w:rStyle w:val="katex-mathml"/>
          <w:color w:val="333333"/>
          <w:sz w:val="29"/>
          <w:szCs w:val="29"/>
          <w:bdr w:val="none" w:sz="0" w:space="0" w:color="auto" w:frame="1"/>
          <w:shd w:val="clear" w:color="auto" w:fill="FFFFFF"/>
        </w:rPr>
        <w:t>(C</w:t>
      </w:r>
      <w:r>
        <w:rPr>
          <w:rStyle w:val="katex-mathml"/>
          <w:rFonts w:ascii="Cambria Math" w:hAnsi="Cambria Math" w:cs="Cambria Math"/>
          <w:color w:val="333333"/>
          <w:sz w:val="29"/>
          <w:szCs w:val="29"/>
          <w:bdr w:val="none" w:sz="0" w:space="0" w:color="auto" w:frame="1"/>
          <w:shd w:val="clear" w:color="auto" w:fill="FFFFFF"/>
        </w:rPr>
        <w:t>∨</w:t>
      </w:r>
      <w:r>
        <w:rPr>
          <w:rStyle w:val="katex-mathml"/>
          <w:color w:val="333333"/>
          <w:sz w:val="29"/>
          <w:szCs w:val="29"/>
          <w:bdr w:val="none" w:sz="0" w:space="0" w:color="auto" w:frame="1"/>
          <w:shd w:val="clear" w:color="auto" w:fill="FFFFFF"/>
        </w:rPr>
        <w:t>¬A)</w:t>
      </w:r>
    </w:p>
    <w:p w14:paraId="7EDACF91" w14:textId="2898C38E" w:rsidR="005B00FE" w:rsidRPr="005B00FE" w:rsidRDefault="00F360D2" w:rsidP="00B85107">
      <w:pPr>
        <w:rPr>
          <w:rStyle w:val="mclose"/>
          <w:color w:val="333333"/>
          <w:sz w:val="29"/>
          <w:szCs w:val="29"/>
          <w:shd w:val="clear" w:color="auto" w:fill="FFFFFF"/>
          <w:lang w:val="en-US"/>
        </w:rPr>
      </w:pPr>
      <w:r>
        <w:rPr>
          <w:noProof/>
          <w:color w:val="333333"/>
          <w:sz w:val="29"/>
          <w:szCs w:val="29"/>
          <w:shd w:val="clear" w:color="auto" w:fill="FFFFFF"/>
          <w:lang w:val="en-US"/>
        </w:rPr>
        <w:drawing>
          <wp:inline distT="0" distB="0" distL="0" distR="0" wp14:anchorId="0792D73C" wp14:editId="6E7A0B6E">
            <wp:extent cx="5413248" cy="2864884"/>
            <wp:effectExtent l="0" t="0" r="0" b="5715"/>
            <wp:docPr id="156845604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56041" name="Рисунок 156845604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172" cy="291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FB1C1" w14:textId="0399D9FE" w:rsidR="00B85107" w:rsidRDefault="00B85107" w:rsidP="00B85107">
      <w:pPr>
        <w:rPr>
          <w:rStyle w:val="mord"/>
          <w:rFonts w:ascii="KaTeX_Math" w:hAnsi="KaTeX_Math"/>
          <w:i/>
          <w:iCs/>
          <w:color w:val="333333"/>
          <w:sz w:val="29"/>
          <w:szCs w:val="29"/>
          <w:shd w:val="clear" w:color="auto" w:fill="FFFFFF"/>
          <w:lang w:val="en-US"/>
        </w:rPr>
      </w:pPr>
      <w:r>
        <w:rPr>
          <w:rStyle w:val="mord"/>
          <w:color w:val="333333"/>
          <w:sz w:val="29"/>
          <w:szCs w:val="29"/>
          <w:shd w:val="clear" w:color="auto" w:fill="FFFFFF"/>
        </w:rPr>
        <w:lastRenderedPageBreak/>
        <w:t>¬</w:t>
      </w:r>
      <w:r>
        <w:rPr>
          <w:rStyle w:val="mopen"/>
          <w:color w:val="333333"/>
          <w:sz w:val="29"/>
          <w:szCs w:val="29"/>
          <w:shd w:val="clear" w:color="auto" w:fill="FFFFFF"/>
        </w:rPr>
        <w:t>(</w:t>
      </w:r>
      <w:r>
        <w:rPr>
          <w:rStyle w:val="mord"/>
          <w:rFonts w:ascii="KaTeX_Math" w:hAnsi="KaTeX_Math"/>
          <w:i/>
          <w:iCs/>
          <w:color w:val="333333"/>
          <w:sz w:val="29"/>
          <w:szCs w:val="29"/>
          <w:shd w:val="clear" w:color="auto" w:fill="FFFFFF"/>
        </w:rPr>
        <w:t>A</w:t>
      </w:r>
      <w:r>
        <w:rPr>
          <w:rStyle w:val="mbin"/>
          <w:rFonts w:ascii="Cambria Math" w:hAnsi="Cambria Math" w:cs="Cambria Math"/>
          <w:color w:val="333333"/>
          <w:sz w:val="29"/>
          <w:szCs w:val="29"/>
          <w:shd w:val="clear" w:color="auto" w:fill="FFFFFF"/>
        </w:rPr>
        <w:t>∧</w:t>
      </w:r>
      <w:r>
        <w:rPr>
          <w:rStyle w:val="mopen"/>
          <w:color w:val="333333"/>
          <w:sz w:val="29"/>
          <w:szCs w:val="29"/>
          <w:shd w:val="clear" w:color="auto" w:fill="FFFFFF"/>
        </w:rPr>
        <w:t>(</w:t>
      </w:r>
      <w:r>
        <w:rPr>
          <w:rStyle w:val="mord"/>
          <w:rFonts w:ascii="KaTeX_Math" w:hAnsi="KaTeX_Math"/>
          <w:i/>
          <w:iCs/>
          <w:color w:val="333333"/>
          <w:sz w:val="29"/>
          <w:szCs w:val="29"/>
          <w:shd w:val="clear" w:color="auto" w:fill="FFFFFF"/>
        </w:rPr>
        <w:t>B</w:t>
      </w:r>
      <w:r>
        <w:rPr>
          <w:rStyle w:val="mrel"/>
          <w:color w:val="333333"/>
          <w:sz w:val="29"/>
          <w:szCs w:val="29"/>
          <w:shd w:val="clear" w:color="auto" w:fill="FFFFFF"/>
        </w:rPr>
        <w:t>→</w:t>
      </w:r>
      <w:r>
        <w:rPr>
          <w:rStyle w:val="mord"/>
          <w:rFonts w:ascii="KaTeX_Math" w:hAnsi="KaTeX_Math"/>
          <w:i/>
          <w:iCs/>
          <w:color w:val="333333"/>
          <w:sz w:val="29"/>
          <w:szCs w:val="29"/>
          <w:shd w:val="clear" w:color="auto" w:fill="FFFFFF"/>
        </w:rPr>
        <w:t>C</w:t>
      </w:r>
      <w:r>
        <w:rPr>
          <w:rStyle w:val="mclose"/>
          <w:color w:val="333333"/>
          <w:sz w:val="29"/>
          <w:szCs w:val="29"/>
          <w:shd w:val="clear" w:color="auto" w:fill="FFFFFF"/>
        </w:rPr>
        <w:t>))</w:t>
      </w:r>
      <w:r w:rsidR="00F360D2">
        <w:rPr>
          <w:rStyle w:val="mclose"/>
          <w:color w:val="333333"/>
          <w:sz w:val="29"/>
          <w:szCs w:val="29"/>
          <w:shd w:val="clear" w:color="auto" w:fill="FFFFFF"/>
          <w:lang w:val="en-US"/>
        </w:rPr>
        <w:t xml:space="preserve"> </w:t>
      </w:r>
      <w:r>
        <w:rPr>
          <w:rStyle w:val="mbin"/>
          <w:rFonts w:ascii="Cambria Math" w:hAnsi="Cambria Math" w:cs="Cambria Math"/>
          <w:color w:val="333333"/>
          <w:sz w:val="29"/>
          <w:szCs w:val="29"/>
          <w:shd w:val="clear" w:color="auto" w:fill="FFFFFF"/>
        </w:rPr>
        <w:t>∨</w:t>
      </w:r>
      <w:r w:rsidR="00F360D2">
        <w:rPr>
          <w:rStyle w:val="mbin"/>
          <w:rFonts w:ascii="Cambria Math" w:hAnsi="Cambria Math" w:cs="Cambria Math"/>
          <w:color w:val="333333"/>
          <w:sz w:val="29"/>
          <w:szCs w:val="29"/>
          <w:shd w:val="clear" w:color="auto" w:fill="FFFFFF"/>
          <w:lang w:val="en-US"/>
        </w:rPr>
        <w:t xml:space="preserve"> </w:t>
      </w:r>
      <w:r>
        <w:rPr>
          <w:rStyle w:val="mord"/>
          <w:rFonts w:ascii="KaTeX_Math" w:hAnsi="KaTeX_Math"/>
          <w:i/>
          <w:iCs/>
          <w:color w:val="333333"/>
          <w:sz w:val="29"/>
          <w:szCs w:val="29"/>
          <w:shd w:val="clear" w:color="auto" w:fill="FFFFFF"/>
        </w:rPr>
        <w:t>D</w:t>
      </w:r>
    </w:p>
    <w:p w14:paraId="31054525" w14:textId="15E7B1AE" w:rsidR="005B00FE" w:rsidRPr="005B00FE" w:rsidRDefault="00F360D2" w:rsidP="00B8510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498133C" wp14:editId="7CB608BC">
            <wp:extent cx="5182994" cy="2202288"/>
            <wp:effectExtent l="0" t="0" r="0" b="0"/>
            <wp:docPr id="91820222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02226" name="Рисунок 91820222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776" cy="225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00FE" w:rsidRPr="005B00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2202B" w14:textId="77777777" w:rsidR="00235810" w:rsidRDefault="00235810" w:rsidP="00B85107">
      <w:pPr>
        <w:spacing w:after="0" w:line="240" w:lineRule="auto"/>
      </w:pPr>
      <w:r>
        <w:separator/>
      </w:r>
    </w:p>
  </w:endnote>
  <w:endnote w:type="continuationSeparator" w:id="0">
    <w:p w14:paraId="0AE34857" w14:textId="77777777" w:rsidR="00235810" w:rsidRDefault="00235810" w:rsidP="00B851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KaTeX_Math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CED5A" w14:textId="77777777" w:rsidR="00235810" w:rsidRDefault="00235810" w:rsidP="00B85107">
      <w:pPr>
        <w:spacing w:after="0" w:line="240" w:lineRule="auto"/>
      </w:pPr>
      <w:r>
        <w:separator/>
      </w:r>
    </w:p>
  </w:footnote>
  <w:footnote w:type="continuationSeparator" w:id="0">
    <w:p w14:paraId="1687E02D" w14:textId="77777777" w:rsidR="00235810" w:rsidRDefault="00235810" w:rsidP="00B851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A42336"/>
    <w:multiLevelType w:val="hybridMultilevel"/>
    <w:tmpl w:val="F13AF1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0548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C30"/>
    <w:rsid w:val="00057E6B"/>
    <w:rsid w:val="00080D73"/>
    <w:rsid w:val="00235810"/>
    <w:rsid w:val="002E3BD1"/>
    <w:rsid w:val="005B00FE"/>
    <w:rsid w:val="00AC0C62"/>
    <w:rsid w:val="00AF6C30"/>
    <w:rsid w:val="00B85107"/>
    <w:rsid w:val="00C12CB7"/>
    <w:rsid w:val="00F36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5A14B"/>
  <w15:chartTrackingRefBased/>
  <w15:docId w15:val="{94C7CC9D-D4FA-4D78-AEA6-2547B9064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851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85107"/>
  </w:style>
  <w:style w:type="paragraph" w:styleId="a5">
    <w:name w:val="footer"/>
    <w:basedOn w:val="a"/>
    <w:link w:val="a6"/>
    <w:uiPriority w:val="99"/>
    <w:unhideWhenUsed/>
    <w:rsid w:val="00B851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85107"/>
  </w:style>
  <w:style w:type="character" w:customStyle="1" w:styleId="katex-mathml">
    <w:name w:val="katex-mathml"/>
    <w:basedOn w:val="a0"/>
    <w:rsid w:val="00B85107"/>
  </w:style>
  <w:style w:type="character" w:customStyle="1" w:styleId="mopen">
    <w:name w:val="mopen"/>
    <w:basedOn w:val="a0"/>
    <w:rsid w:val="00B85107"/>
  </w:style>
  <w:style w:type="character" w:customStyle="1" w:styleId="mord">
    <w:name w:val="mord"/>
    <w:basedOn w:val="a0"/>
    <w:rsid w:val="00B85107"/>
  </w:style>
  <w:style w:type="character" w:customStyle="1" w:styleId="mbin">
    <w:name w:val="mbin"/>
    <w:basedOn w:val="a0"/>
    <w:rsid w:val="00B85107"/>
  </w:style>
  <w:style w:type="character" w:customStyle="1" w:styleId="mclose">
    <w:name w:val="mclose"/>
    <w:basedOn w:val="a0"/>
    <w:rsid w:val="00B85107"/>
  </w:style>
  <w:style w:type="character" w:customStyle="1" w:styleId="mrel">
    <w:name w:val="mrel"/>
    <w:basedOn w:val="a0"/>
    <w:rsid w:val="00B85107"/>
  </w:style>
  <w:style w:type="paragraph" w:styleId="a7">
    <w:name w:val="List Paragraph"/>
    <w:basedOn w:val="a"/>
    <w:uiPriority w:val="34"/>
    <w:qFormat/>
    <w:rsid w:val="00AC0C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</dc:creator>
  <cp:keywords/>
  <dc:description/>
  <cp:lastModifiedBy>Глеб Вобленко</cp:lastModifiedBy>
  <cp:revision>2</cp:revision>
  <dcterms:created xsi:type="dcterms:W3CDTF">2026-09-25T21:21:00Z</dcterms:created>
  <dcterms:modified xsi:type="dcterms:W3CDTF">2026-09-25T21:21:00Z</dcterms:modified>
</cp:coreProperties>
</file>