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3E0" w:rsidRDefault="00CD3826">
      <w:pPr>
        <w:spacing w:before="200" w:after="12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b/>
          <w:color w:val="4D5D6D"/>
          <w:sz w:val="48"/>
          <w:szCs w:val="48"/>
        </w:rPr>
        <w:t>Практика</w:t>
      </w:r>
    </w:p>
    <w:p w:rsidR="003E13E0" w:rsidRDefault="00CD3826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Предлагаю теперь под другим углом взглянуть на нашу схему, с которой мы начали данный урок.</w:t>
      </w:r>
    </w:p>
    <w:p w:rsidR="003E13E0" w:rsidRDefault="00CD3826">
      <w:pPr>
        <w:numPr>
          <w:ilvl w:val="0"/>
          <w:numId w:val="1"/>
        </w:numPr>
        <w:spacing w:before="200"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Обеспечение и управление ИБ.</w:t>
      </w:r>
    </w:p>
    <w:p w:rsidR="003E13E0" w:rsidRDefault="00CD3826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Управление рисками.</w:t>
      </w:r>
    </w:p>
    <w:p w:rsidR="003E13E0" w:rsidRDefault="00CD3826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Обработка инцидентов ИБ.</w:t>
      </w:r>
    </w:p>
    <w:p w:rsidR="003E13E0" w:rsidRDefault="00CD3826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Аудит IT и ИБ.</w:t>
      </w:r>
    </w:p>
    <w:p w:rsidR="003E13E0" w:rsidRDefault="00CD3826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Управление IT.</w:t>
      </w:r>
    </w:p>
    <w:p w:rsidR="003E13E0" w:rsidRDefault="00CD3826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Оценка, сертификация IT-систем.</w:t>
      </w:r>
    </w:p>
    <w:p w:rsidR="003E13E0" w:rsidRDefault="00CD3826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Непрерывность бизнеса.</w:t>
      </w:r>
    </w:p>
    <w:p w:rsidR="003E13E0" w:rsidRDefault="00CD3826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Рекомендации по защите.</w:t>
      </w:r>
    </w:p>
    <w:p w:rsidR="003E13E0" w:rsidRDefault="00CD3826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Повышение осведомленности пользователей.</w:t>
      </w:r>
    </w:p>
    <w:p w:rsidR="003E13E0" w:rsidRDefault="00CD3826">
      <w:pPr>
        <w:numPr>
          <w:ilvl w:val="0"/>
          <w:numId w:val="1"/>
        </w:numPr>
        <w:spacing w:after="20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Рекомендации по безопасности для персонального использования.</w:t>
      </w:r>
    </w:p>
    <w:p w:rsidR="003E13E0" w:rsidRDefault="00CD3826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Исходя из вашей методички и тех знаний, которые вы получили на сегодняшнем уроке, я предлагаю вам сделать 10 минутный тест и направить его мне почтовым сообщением.</w:t>
      </w:r>
    </w:p>
    <w:p w:rsidR="003E13E0" w:rsidRDefault="00CD3826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Формат теста:</w:t>
      </w:r>
    </w:p>
    <w:tbl>
      <w:tblPr>
        <w:tblStyle w:val="a5"/>
        <w:tblW w:w="934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23"/>
        <w:gridCol w:w="4121"/>
        <w:gridCol w:w="4801"/>
      </w:tblGrid>
      <w:tr w:rsidR="003E13E0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3E1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7876D7" w:rsidP="00CD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 xml:space="preserve">ФИО студента: </w:t>
            </w:r>
            <w:r>
              <w:rPr>
                <w:rFonts w:ascii="Courier New" w:eastAsia="Arial" w:hAnsi="Courier New" w:cs="Courier New"/>
                <w:b/>
                <w:color w:val="2C2D30"/>
                <w:sz w:val="20"/>
                <w:szCs w:val="20"/>
              </w:rPr>
              <w:t>Лешков Игорь Александрович</w:t>
            </w:r>
          </w:p>
        </w:tc>
      </w:tr>
      <w:tr w:rsidR="003E13E0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№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Область «</w:t>
            </w:r>
            <w:proofErr w:type="spellStart"/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best</w:t>
            </w:r>
            <w:proofErr w:type="spellEnd"/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practice</w:t>
            </w:r>
            <w:proofErr w:type="spellEnd"/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»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Применение методологии\стандартов + возможный пример процесса ИБ</w:t>
            </w:r>
          </w:p>
        </w:tc>
      </w:tr>
      <w:tr w:rsidR="003E13E0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1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Обеспечение и управление ИБ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Pr="0035040B" w:rsidRDefault="006B3A9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5040B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ISO</w:t>
            </w:r>
            <w:r w:rsidRPr="0035040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27002</w:t>
            </w:r>
            <w:r w:rsidR="006A0188" w:rsidRPr="0035040B">
              <w:rPr>
                <w:rFonts w:ascii="Courier New" w:eastAsia="Times New Roman" w:hAnsi="Courier New" w:cs="Courier New"/>
                <w:sz w:val="24"/>
                <w:szCs w:val="24"/>
              </w:rPr>
              <w:t>:2013/</w:t>
            </w:r>
            <w:r w:rsidRPr="0035040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3E110F" w:rsidRPr="0035040B">
              <w:rPr>
                <w:rFonts w:ascii="Courier New" w:eastAsia="Times New Roman" w:hAnsi="Courier New" w:cs="Courier New"/>
                <w:sz w:val="24"/>
                <w:szCs w:val="24"/>
              </w:rPr>
              <w:t>Например – Безопасность связи  (Управление сетевой безопасностью)</w:t>
            </w:r>
          </w:p>
        </w:tc>
      </w:tr>
      <w:tr w:rsidR="003E13E0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2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Управление рисками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Pr="0035040B" w:rsidRDefault="006A018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5040B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ISO</w:t>
            </w:r>
            <w:r w:rsidRPr="0035040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27005:2018/Например – Установление контекста управления рисками (объем, обязательства, политики и критерии)</w:t>
            </w:r>
          </w:p>
        </w:tc>
      </w:tr>
      <w:tr w:rsidR="003E13E0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3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Обработка инцидентов ИБ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Pr="0035040B" w:rsidRDefault="00EC5BC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35040B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ISO</w:t>
            </w:r>
            <w:r w:rsidR="00836698" w:rsidRPr="0035040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27035:2016/Например </w:t>
            </w:r>
            <w:r w:rsidR="00A60542" w:rsidRPr="0035040B">
              <w:rPr>
                <w:rFonts w:ascii="Courier New" w:eastAsia="Times New Roman" w:hAnsi="Courier New" w:cs="Courier New"/>
                <w:sz w:val="24"/>
                <w:szCs w:val="24"/>
              </w:rPr>
              <w:t>– Поиск уязвимостей, тестирование на проникновение (</w:t>
            </w:r>
            <w:proofErr w:type="spellStart"/>
            <w:r w:rsidR="00A60542" w:rsidRPr="0035040B">
              <w:rPr>
                <w:rFonts w:ascii="Courier New" w:eastAsia="Times New Roman" w:hAnsi="Courier New" w:cs="Courier New"/>
                <w:sz w:val="24"/>
                <w:szCs w:val="24"/>
              </w:rPr>
              <w:t>пентест</w:t>
            </w:r>
            <w:proofErr w:type="spellEnd"/>
            <w:r w:rsidR="00A60542" w:rsidRPr="0035040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), </w:t>
            </w:r>
            <w:r w:rsidR="00A60542" w:rsidRPr="0035040B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SIEM</w:t>
            </w:r>
            <w:r w:rsidR="00A60542" w:rsidRPr="0035040B">
              <w:rPr>
                <w:rFonts w:ascii="Courier New" w:eastAsia="Times New Roman" w:hAnsi="Courier New" w:cs="Courier New"/>
                <w:sz w:val="24"/>
                <w:szCs w:val="24"/>
              </w:rPr>
              <w:t>-системы.</w:t>
            </w:r>
          </w:p>
        </w:tc>
      </w:tr>
      <w:tr w:rsidR="003E13E0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4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Аудит IT и ИБ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Pr="0035040B" w:rsidRDefault="0077789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5040B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ISO</w:t>
            </w:r>
            <w:r w:rsidRPr="0035040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27007&amp;27008/Например – проведения аудита СМИБ + внедрение технических средств контроля.</w:t>
            </w:r>
          </w:p>
        </w:tc>
      </w:tr>
      <w:tr w:rsidR="003E13E0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5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Управление IT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Pr="0035040B" w:rsidRDefault="0035040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OWASP</w:t>
            </w:r>
            <w:r w:rsidRPr="0035040B">
              <w:rPr>
                <w:rFonts w:ascii="Courier New" w:eastAsia="Times New Roman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Например – разработка руководств по безопасности приложений для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CISO</w:t>
            </w:r>
            <w:r w:rsidRPr="0035040B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</w:tc>
      </w:tr>
      <w:tr w:rsidR="003E13E0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6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Оценка, сертификация IT-систем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Pr="00B67B65" w:rsidRDefault="00442E0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ISO</w:t>
            </w:r>
            <w:r w:rsidRPr="00B67B6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27001</w:t>
            </w:r>
            <w:r w:rsidR="00B67B65" w:rsidRPr="00B67B65">
              <w:rPr>
                <w:rFonts w:ascii="Courier New" w:eastAsia="Times New Roman" w:hAnsi="Courier New" w:cs="Courier New"/>
                <w:sz w:val="24"/>
                <w:szCs w:val="24"/>
              </w:rPr>
              <w:t>:2013/</w:t>
            </w:r>
            <w:r w:rsidR="00B67B65">
              <w:rPr>
                <w:rFonts w:ascii="Courier New" w:eastAsia="Times New Roman" w:hAnsi="Courier New" w:cs="Courier New"/>
                <w:sz w:val="24"/>
                <w:szCs w:val="24"/>
              </w:rPr>
              <w:t>Например – мониторинг, оценка и анализ СУИБ.</w:t>
            </w:r>
            <w:bookmarkStart w:id="0" w:name="_GoBack"/>
            <w:bookmarkEnd w:id="0"/>
          </w:p>
        </w:tc>
      </w:tr>
      <w:tr w:rsidR="003E13E0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7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Непрерывность бизнеса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Pr="0035040B" w:rsidRDefault="008A2C3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5040B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ISO</w:t>
            </w:r>
            <w:r w:rsidRPr="0035040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27031:2011/Например –</w:t>
            </w:r>
            <w:r w:rsidR="0082575B" w:rsidRPr="0035040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Внедрение технологий</w:t>
            </w:r>
            <w:r w:rsidRPr="0035040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35040B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реагирования на стихийные бедствия и </w:t>
            </w:r>
            <w:proofErr w:type="gramStart"/>
            <w:r w:rsidRPr="0035040B">
              <w:rPr>
                <w:rFonts w:ascii="Courier New" w:eastAsia="Times New Roman" w:hAnsi="Courier New" w:cs="Courier New"/>
                <w:sz w:val="24"/>
                <w:szCs w:val="24"/>
              </w:rPr>
              <w:t>ЧС</w:t>
            </w:r>
            <w:r w:rsidR="0082575B" w:rsidRPr="0035040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="0082575B" w:rsidRPr="0035040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аварийное восстановление </w:t>
            </w:r>
            <w:proofErr w:type="spellStart"/>
            <w:r w:rsidR="0082575B" w:rsidRPr="0035040B">
              <w:rPr>
                <w:rFonts w:ascii="Courier New" w:eastAsia="Times New Roman" w:hAnsi="Courier New" w:cs="Courier New"/>
                <w:sz w:val="24"/>
                <w:szCs w:val="24"/>
              </w:rPr>
              <w:t>итд</w:t>
            </w:r>
            <w:proofErr w:type="spellEnd"/>
            <w:r w:rsidR="0082575B" w:rsidRPr="0035040B">
              <w:rPr>
                <w:rFonts w:ascii="Courier New" w:eastAsia="Times New Roman" w:hAnsi="Courier New" w:cs="Courier New"/>
                <w:sz w:val="24"/>
                <w:szCs w:val="24"/>
              </w:rPr>
              <w:t>.).</w:t>
            </w:r>
          </w:p>
        </w:tc>
      </w:tr>
      <w:tr w:rsidR="003E13E0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lastRenderedPageBreak/>
              <w:t>8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Рекомендации по защите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Pr="0035040B" w:rsidRDefault="0035040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ArialMT" w:hAnsi="Courier New" w:cs="Courier New"/>
                <w:color w:val="2C2D30"/>
                <w:sz w:val="24"/>
                <w:szCs w:val="20"/>
              </w:rPr>
              <w:t xml:space="preserve">ISO </w:t>
            </w:r>
            <w:r w:rsidRPr="0035040B">
              <w:rPr>
                <w:rFonts w:ascii="Courier New" w:eastAsia="ArialMT" w:hAnsi="Courier New" w:cs="Courier New"/>
                <w:color w:val="2C2D30"/>
                <w:sz w:val="24"/>
                <w:szCs w:val="20"/>
              </w:rPr>
              <w:t>27033-1:2009</w:t>
            </w:r>
            <w:r w:rsidRPr="0035040B">
              <w:rPr>
                <w:rFonts w:ascii="Courier New" w:eastAsia="ArialMT" w:hAnsi="Courier New" w:cs="Courier New"/>
                <w:color w:val="2C2D30"/>
                <w:sz w:val="24"/>
                <w:szCs w:val="20"/>
              </w:rPr>
              <w:t>/</w:t>
            </w:r>
            <w:r>
              <w:rPr>
                <w:rFonts w:ascii="Courier New" w:eastAsia="ArialMT" w:hAnsi="Courier New" w:cs="Courier New"/>
                <w:color w:val="2C2D30"/>
                <w:sz w:val="24"/>
                <w:szCs w:val="20"/>
              </w:rPr>
              <w:t>Например – разработка концепций защиты сетей в организации.</w:t>
            </w:r>
          </w:p>
        </w:tc>
      </w:tr>
      <w:tr w:rsidR="003E13E0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9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Повышение осведомленности пользователей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Pr="007876D7" w:rsidRDefault="007876D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SANS</w:t>
            </w:r>
            <w:r w:rsidRPr="007876D7">
              <w:rPr>
                <w:rFonts w:ascii="Courier New" w:eastAsia="Times New Roman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CIS</w:t>
            </w:r>
            <w:r w:rsidRPr="007876D7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Controls</w:t>
            </w:r>
            <w:r w:rsidRPr="007876D7">
              <w:rPr>
                <w:rFonts w:ascii="Courier New" w:eastAsia="Times New Roman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Например – рекомендации по защите паролей, понимания антивирусного ПО,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итд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. </w:t>
            </w:r>
          </w:p>
        </w:tc>
      </w:tr>
      <w:tr w:rsidR="003E13E0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10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Default="00CD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Рекомендации по безопасности для персонального использования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E0" w:rsidRPr="001C3C14" w:rsidRDefault="001C3C1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NSA</w:t>
            </w:r>
            <w:r w:rsidRPr="001C3C14">
              <w:rPr>
                <w:rFonts w:ascii="Courier New" w:eastAsia="Times New Roman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Например – безопасность в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соц.сетях</w:t>
            </w:r>
            <w:proofErr w:type="spellEnd"/>
          </w:p>
        </w:tc>
      </w:tr>
    </w:tbl>
    <w:p w:rsidR="003E13E0" w:rsidRDefault="003E13E0">
      <w:pPr>
        <w:rPr>
          <w:rFonts w:ascii="Arial" w:eastAsia="Arial" w:hAnsi="Arial" w:cs="Arial"/>
          <w:sz w:val="20"/>
          <w:szCs w:val="20"/>
        </w:rPr>
      </w:pPr>
      <w:bookmarkStart w:id="1" w:name="_gjdgxs" w:colFirst="0" w:colLast="0"/>
      <w:bookmarkEnd w:id="1"/>
    </w:p>
    <w:sectPr w:rsidR="003E13E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142C2"/>
    <w:multiLevelType w:val="multilevel"/>
    <w:tmpl w:val="8B048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E0"/>
    <w:rsid w:val="001C3C14"/>
    <w:rsid w:val="0035040B"/>
    <w:rsid w:val="003A085E"/>
    <w:rsid w:val="003E110F"/>
    <w:rsid w:val="003E13E0"/>
    <w:rsid w:val="00442E02"/>
    <w:rsid w:val="006A0188"/>
    <w:rsid w:val="006B3A9F"/>
    <w:rsid w:val="00777895"/>
    <w:rsid w:val="007876D7"/>
    <w:rsid w:val="0082575B"/>
    <w:rsid w:val="00836698"/>
    <w:rsid w:val="008A2C3F"/>
    <w:rsid w:val="00A60542"/>
    <w:rsid w:val="00B67B65"/>
    <w:rsid w:val="00CD3826"/>
    <w:rsid w:val="00E51BFF"/>
    <w:rsid w:val="00EC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C63985C-62AF-4F6B-A2C4-F080871E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Владелец</cp:lastModifiedBy>
  <cp:revision>13</cp:revision>
  <dcterms:created xsi:type="dcterms:W3CDTF">2021-12-01T12:04:00Z</dcterms:created>
  <dcterms:modified xsi:type="dcterms:W3CDTF">2021-12-02T11:49:00Z</dcterms:modified>
</cp:coreProperties>
</file>