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Network Engineer Copilot Technical Implementation Canon</w:t>
      </w:r>
    </w:p>
    <w:p>
      <w:pPr>
        <w:widowControl/>
      </w:pPr>
      <w:r>
        <w:t>Field Office proof of concept and commercial product implementation plan</w:t>
      </w:r>
    </w:p>
    <w:p>
      <w:pPr>
        <w:widowControl/>
      </w:pPr>
      <w:r>
        <w:t>Version 1.0  September 18 2026  Prepared for Glen</w:t>
      </w:r>
    </w:p>
    <w:p>
      <w:pPr>
        <w:pStyle w:val="Heading1"/>
        <w:spacing w:before="400"/>
      </w:pPr>
      <w:r>
        <w:t>1 Build decision and honest completion boundary</w:t>
      </w:r>
    </w:p>
    <w:p>
      <w:pPr>
        <w:widowControl/>
      </w:pPr>
      <w:r>
        <w:t>Build the first machine around a refurbished Panasonic Toughbook FZ-55, Windows 11 Pro, 32 GB RAM, a 512 GB SSD, installed carrier-compatible LTE, and a removable field instrument kit. Keep the technician's business records local, use inexpensive instruments for diagnosis, and rent calibrated certification equipment when the contract calls for it. Use the existing telephone as the reliable voice endpoint while the laptop supplies the business workspace and cellular data. This provides useful field-office capability without making a new computer, instrument chassis, or autonomous business agent a prerequisite.</w:t>
      </w:r>
    </w:p>
    <w:p>
      <w:pPr>
        <w:widowControl/>
      </w:pPr>
      <w:r>
        <w:t>The core hardware budget is USD 2,320. The expanded diagnostic complement is another USD 1,185, for USD 3,505. Allowing 20 percent for price variation, shipping, tax and missing accessories produces planning cash envelopes of USD 2,784 and USD 4,206 respectively. That contingency is an allowance, not a calculated local sales-tax quote. Subtract only equipment actually owned, serviceable and compatible. Existing laptop, phone, bags, hand tools and instruments can materially reduce new spending.</w:t>
      </w:r>
    </w:p>
    <w:p>
      <w:pPr>
        <w:widowControl/>
      </w:pPr>
      <w:r>
        <w:t>The companion kit contains executable software for local jobs, records, protected reservations, evidence, approval records, stock consumption, cost records, prepared estimates and invoices, customer-filtered closeout packages, and backup verification. It includes a basic desktop front end, a Windows installation script, host diagnostics, PDF page handling, local model assistance, and deployable telephone-routing functions. See the validation record for the precise tests performed.</w:t>
      </w:r>
    </w:p>
    <w:p>
      <w:pPr>
        <w:widowControl/>
      </w:pPr>
      <w:r>
        <w:t>This is a commercial implementation plan accompanied by a tested software foundation. It is not a claim that the entire commercial product has been delivered or field qualified. The full conversational receptionist, autonomous scheduling, marketplace transaction adapters, instrument drivers, hardened production interface, licensing package, and commercial release assurance remain explicit development or validation work. Manual paths below make the operating functions possible without fictitious APIs or success states.</w:t>
      </w:r>
    </w:p>
    <w:p>
      <w:pPr>
        <w:pStyle w:val="Heading1"/>
      </w:pPr>
      <w:r>
        <w:t>2 Reconstructed requirements and source precedence</w:t>
      </w:r>
    </w:p>
    <w:p>
      <w:pPr>
        <w:widowControl/>
      </w:pPr>
      <w:r>
        <w:t>The operating baseline is the supplied Network Engineer Copilot Operational Canon. The recovered task Create copilot operations canon establishes the request for a separate implementation canon, Toughbook selection, equipment cost and a heavy modular duffel. Its last interrupted instruction describes a carrier receiving a Veto Tech Pac from one side, a Norwalk messenger from the other, and supplies between them.</w:t>
      </w:r>
    </w:p>
    <w:p>
      <w:pPr>
        <w:widowControl/>
      </w:pPr>
      <w:r>
        <w:t>The related Ultimate Field Laptop Strategy conversation adds built-in cellular, a voice receptionist, immediate transfer when a caller asks for Glen, messaging and callback choices, and eventual customer self-scheduling with confirmations. Those later requirements belong in this implementation even though the supplied operating canon does not fully describe them. Earlier assistant claims such as percentage specification completeness are not engineering evidence or acceptance results.</w:t>
      </w:r>
    </w:p>
    <w:p>
      <w:pPr>
        <w:widowControl/>
      </w:pPr>
      <w:r>
        <w:t>Canonical names remain unchanged. The Job Dossier is the persistent job record. Current Job Reality is a sourced, revisable view of observations and uncertainties. The Operations Knowledge Base holds approved references. The Field Mission Harness selects the current procedure, stopping conditions and required evidence. Procedural Precedent is reviewed experience, never an automatic override of the current work order. An Approval Aperture binds an action to its terms, scope version, recipient and expiry. Portfolio scheduling protects the entire operational envelope across private work and all platforms.</w:t>
      </w:r>
    </w:p>
    <w:p>
      <w:pPr>
        <w:widowControl/>
      </w:pPr>
      <w:r>
        <w:t>All cost and equipment choices in this plan are recommendations. No purchase, account provisioning, customer communication or production network change has been performed. The attached document is source material, not a separate instruction to execute its proposed procedures on this computer.</w:t>
      </w:r>
    </w:p>
    <w:p>
      <w:pPr>
        <w:pStyle w:val="Heading1"/>
      </w:pPr>
      <w:r>
        <w:t>3 Product boundary and capability map</w:t>
      </w:r>
    </w:p>
    <w:p>
      <w:pPr>
        <w:widowControl/>
      </w:pPr>
      <w:r>
        <w:t>There are three distinct implementation states. Implemented means executable code is included; validated means the particular check was actually run. Manual means a named human workflow completes the function with real software or equipment. Development means a proposed capability has no completed implementation in this release. A runnable integration that lacks credentials or hardware is not field validated.</w:t>
      </w:r>
    </w:p>
    <w:tbl>
      <w:tblPr>
        <w:tblW w:type="auto" w:w="0"/>
        <w:tblLayout w:type="fixed"/>
        <w:tblLook w:firstColumn="1" w:firstRow="1" w:lastColumn="0" w:lastRow="0" w:noHBand="0" w:noVBand="1" w:val="04A0"/>
      </w:tblPr>
      <w:tblGrid>
        <w:gridCol w:w="2376"/>
        <w:gridCol w:w="3456"/>
        <w:gridCol w:w="4104"/>
      </w:tblGrid>
      <w:tr>
        <w:trPr>
          <w:cantSplit/>
          <w:tblHeader/>
        </w:trPr>
        <w:tc>
          <w:tcPr>
            <w:tcW w:type="dxa" w:w="2376"/>
            <w:vAlign w:val="center"/>
            <w:shd w:fill="E6ECF1"/>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sz w:val="18"/>
              </w:rPr>
              <w:t>Function</w:t>
            </w:r>
          </w:p>
        </w:tc>
        <w:tc>
          <w:tcPr>
            <w:tcW w:type="dxa" w:w="3456"/>
            <w:vAlign w:val="center"/>
            <w:shd w:fill="E6ECF1"/>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sz w:val="18"/>
              </w:rPr>
              <w:t>First round delivery</w:t>
            </w:r>
          </w:p>
        </w:tc>
        <w:tc>
          <w:tcPr>
            <w:tcW w:type="dxa" w:w="4104"/>
            <w:vAlign w:val="center"/>
            <w:shd w:fill="E6ECF1"/>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sz w:val="18"/>
              </w:rPr>
              <w:t>Commercial completion gate</w:t>
            </w:r>
          </w:p>
        </w:tc>
      </w:tr>
      <w:tr>
        <w:trPr>
          <w:cantSplit/>
        </w:trPr>
        <w:tc>
          <w:tcPr>
            <w:tcW w:type="dxa" w:w="237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Job Dossier and records</w:t>
            </w:r>
          </w:p>
        </w:tc>
        <w:tc>
          <w:tcPr>
            <w:tcW w:type="dxa" w:w="345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Local SQLite ledger and desktop command form</w:t>
            </w:r>
          </w:p>
        </w:tc>
        <w:tc>
          <w:tcPr>
            <w:tcW w:type="dxa" w:w="4104"/>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Structured forms, migrations and recovery testing</w:t>
            </w:r>
          </w:p>
        </w:tc>
      </w:tr>
      <w:tr>
        <w:trPr>
          <w:cantSplit/>
        </w:trPr>
        <w:tc>
          <w:tcPr>
            <w:tcW w:type="dxa" w:w="2376"/>
            <w:vAlign w:val="center"/>
            <w:shd w:fill="F6F7F8"/>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Current Job Reality</w:t>
            </w:r>
          </w:p>
        </w:tc>
        <w:tc>
          <w:tcPr>
            <w:tcW w:type="dxa" w:w="3456"/>
            <w:vAlign w:val="center"/>
            <w:shd w:fill="F6F7F8"/>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Sourced records, scope revisions and open requirements</w:t>
            </w:r>
          </w:p>
        </w:tc>
        <w:tc>
          <w:tcPr>
            <w:tcW w:type="dxa" w:w="4104"/>
            <w:vAlign w:val="center"/>
            <w:shd w:fill="F6F7F8"/>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Conflict resolution and freshness rules in UI</w:t>
            </w:r>
          </w:p>
        </w:tc>
      </w:tr>
      <w:tr>
        <w:trPr>
          <w:cantSplit/>
        </w:trPr>
        <w:tc>
          <w:tcPr>
            <w:tcW w:type="dxa" w:w="237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Scheduling</w:t>
            </w:r>
          </w:p>
        </w:tc>
        <w:tc>
          <w:tcPr>
            <w:tcW w:type="dxa" w:w="345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Offset-aware protected envelope conflicts, soft and hard reservations</w:t>
            </w:r>
          </w:p>
        </w:tc>
        <w:tc>
          <w:tcPr>
            <w:tcW w:type="dxa" w:w="4104"/>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Route estimates, flexible windows, multi-device atomic commitment</w:t>
            </w:r>
          </w:p>
        </w:tc>
      </w:tr>
      <w:tr>
        <w:trPr>
          <w:cantSplit/>
        </w:trPr>
        <w:tc>
          <w:tcPr>
            <w:tcW w:type="dxa" w:w="2376"/>
            <w:vAlign w:val="center"/>
            <w:shd w:fill="F6F7F8"/>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Authority</w:t>
            </w:r>
          </w:p>
        </w:tc>
        <w:tc>
          <w:tcPr>
            <w:tcW w:type="dxa" w:w="3456"/>
            <w:vAlign w:val="center"/>
            <w:shd w:fill="F6F7F8"/>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Exact-content hash, scope version and expiry at approval</w:t>
            </w:r>
          </w:p>
        </w:tc>
        <w:tc>
          <w:tcPr>
            <w:tcW w:type="dxa" w:w="4104"/>
            <w:vAlign w:val="center"/>
            <w:shd w:fill="F6F7F8"/>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Revalidation at execution, roles, delegation and outbox</w:t>
            </w:r>
          </w:p>
        </w:tc>
      </w:tr>
      <w:tr>
        <w:trPr>
          <w:cantSplit/>
        </w:trPr>
        <w:tc>
          <w:tcPr>
            <w:tcW w:type="dxa" w:w="237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Inventory and economics</w:t>
            </w:r>
          </w:p>
        </w:tc>
        <w:tc>
          <w:tcPr>
            <w:tcW w:type="dxa" w:w="345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Integer stock, weighted cost, consumption and cash contribution</w:t>
            </w:r>
          </w:p>
        </w:tc>
        <w:tc>
          <w:tcPr>
            <w:tcW w:type="dxa" w:w="4104"/>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Reservations, fractional units, credits and accounting reconciliation</w:t>
            </w:r>
          </w:p>
        </w:tc>
      </w:tr>
      <w:tr>
        <w:trPr>
          <w:cantSplit/>
        </w:trPr>
        <w:tc>
          <w:tcPr>
            <w:tcW w:type="dxa" w:w="2376"/>
            <w:vAlign w:val="center"/>
            <w:shd w:fill="F6F7F8"/>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Documents</w:t>
            </w:r>
          </w:p>
        </w:tc>
        <w:tc>
          <w:tcPr>
            <w:tcW w:type="dxa" w:w="3456"/>
            <w:vAlign w:val="center"/>
            <w:shd w:fill="F6F7F8"/>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Printable immutable prepared document snapshots and closeout ZIP</w:t>
            </w:r>
          </w:p>
        </w:tc>
        <w:tc>
          <w:tcPr>
            <w:tcW w:type="dxa" w:w="4104"/>
            <w:vAlign w:val="center"/>
            <w:shd w:fill="F6F7F8"/>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Branded reviewed templates and issuance ledger</w:t>
            </w:r>
          </w:p>
        </w:tc>
      </w:tr>
      <w:tr>
        <w:trPr>
          <w:cantSplit/>
        </w:trPr>
        <w:tc>
          <w:tcPr>
            <w:tcW w:type="dxa" w:w="237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Marketplace work</w:t>
            </w:r>
          </w:p>
        </w:tc>
        <w:tc>
          <w:tcPr>
            <w:tcW w:type="dxa" w:w="345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Official website workflow plus retained confirmations</w:t>
            </w:r>
          </w:p>
        </w:tc>
        <w:tc>
          <w:tcPr>
            <w:tcW w:type="dxa" w:w="4104"/>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Verified technician API permissions and contract-tested adapter</w:t>
            </w:r>
          </w:p>
        </w:tc>
      </w:tr>
      <w:tr>
        <w:trPr>
          <w:cantSplit/>
        </w:trPr>
        <w:tc>
          <w:tcPr>
            <w:tcW w:type="dxa" w:w="2376"/>
            <w:vAlign w:val="center"/>
            <w:shd w:fill="F6F7F8"/>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Insurance</w:t>
            </w:r>
          </w:p>
        </w:tc>
        <w:tc>
          <w:tcPr>
            <w:tcW w:type="dxa" w:w="3456"/>
            <w:vAlign w:val="center"/>
            <w:shd w:fill="F6F7F8"/>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Source documents and manual requirement review</w:t>
            </w:r>
          </w:p>
        </w:tc>
        <w:tc>
          <w:tcPr>
            <w:tcW w:type="dxa" w:w="4104"/>
            <w:vAlign w:val="center"/>
            <w:shd w:fill="F6F7F8"/>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Typed policy expiries and requirement matching</w:t>
            </w:r>
          </w:p>
        </w:tc>
      </w:tr>
      <w:tr>
        <w:trPr>
          <w:cantSplit/>
        </w:trPr>
        <w:tc>
          <w:tcPr>
            <w:tcW w:type="dxa" w:w="237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Instruments</w:t>
            </w:r>
          </w:p>
        </w:tc>
        <w:tc>
          <w:tcPr>
            <w:tcW w:type="dxa" w:w="345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Vendor programs and manual file import</w:t>
            </w:r>
          </w:p>
        </w:tc>
        <w:tc>
          <w:tcPr>
            <w:tcW w:type="dxa" w:w="4104"/>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Tested per-model drivers and measurement provenance</w:t>
            </w:r>
          </w:p>
        </w:tc>
      </w:tr>
      <w:tr>
        <w:trPr>
          <w:cantSplit/>
        </w:trPr>
        <w:tc>
          <w:tcPr>
            <w:tcW w:type="dxa" w:w="2376"/>
            <w:vAlign w:val="center"/>
            <w:shd w:fill="F6F7F8"/>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Local AI</w:t>
            </w:r>
          </w:p>
        </w:tc>
        <w:tc>
          <w:tcPr>
            <w:tcW w:type="dxa" w:w="3456"/>
            <w:vAlign w:val="center"/>
            <w:shd w:fill="F6F7F8"/>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Actual loopback advisory request adapter</w:t>
            </w:r>
          </w:p>
        </w:tc>
        <w:tc>
          <w:tcPr>
            <w:tcW w:type="dxa" w:w="4104"/>
            <w:vAlign w:val="center"/>
            <w:shd w:fill="F6F7F8"/>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Model installed, quality evaluation and latency qualification</w:t>
            </w:r>
          </w:p>
        </w:tc>
      </w:tr>
      <w:tr>
        <w:trPr>
          <w:cantSplit/>
        </w:trPr>
        <w:tc>
          <w:tcPr>
            <w:tcW w:type="dxa" w:w="237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Telephone</w:t>
            </w:r>
          </w:p>
        </w:tc>
        <w:tc>
          <w:tcPr>
            <w:tcW w:type="dxa" w:w="345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Speech or keypad transfer, answer screening and voicemail functions</w:t>
            </w:r>
          </w:p>
        </w:tc>
        <w:tc>
          <w:tcPr>
            <w:tcW w:type="dxa" w:w="4104"/>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Live carrier tests and operating procedures</w:t>
            </w:r>
          </w:p>
        </w:tc>
      </w:tr>
      <w:tr>
        <w:trPr>
          <w:cantSplit/>
        </w:trPr>
        <w:tc>
          <w:tcPr>
            <w:tcW w:type="dxa" w:w="2376"/>
            <w:vAlign w:val="center"/>
            <w:shd w:fill="F6F7F8"/>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Full secretary</w:t>
            </w:r>
          </w:p>
        </w:tc>
        <w:tc>
          <w:tcPr>
            <w:tcW w:type="dxa" w:w="3456"/>
            <w:vAlign w:val="center"/>
            <w:shd w:fill="F6F7F8"/>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Human-reviewed messages and callback workflow</w:t>
            </w:r>
          </w:p>
        </w:tc>
        <w:tc>
          <w:tcPr>
            <w:tcW w:type="dxa" w:w="4104"/>
            <w:vAlign w:val="center"/>
            <w:shd w:fill="F6F7F8"/>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Natural dialogue, secure caller context and audited booking</w:t>
            </w:r>
          </w:p>
        </w:tc>
      </w:tr>
      <w:tr>
        <w:trPr>
          <w:cantSplit/>
        </w:trPr>
        <w:tc>
          <w:tcPr>
            <w:tcW w:type="dxa" w:w="237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Customer self-booking</w:t>
            </w:r>
          </w:p>
        </w:tc>
        <w:tc>
          <w:tcPr>
            <w:tcW w:type="dxa" w:w="345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Manual tentative reservation and confirmation</w:t>
            </w:r>
          </w:p>
        </w:tc>
        <w:tc>
          <w:tcPr>
            <w:tcW w:type="dxa" w:w="4104"/>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Trusted-client policy, central reservation service and notifications</w:t>
            </w:r>
          </w:p>
        </w:tc>
      </w:tr>
      <w:tr>
        <w:trPr>
          <w:cantSplit/>
        </w:trPr>
        <w:tc>
          <w:tcPr>
            <w:tcW w:type="dxa" w:w="2376"/>
            <w:vAlign w:val="center"/>
            <w:shd w:fill="F6F7F8"/>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Commercial product</w:t>
            </w:r>
          </w:p>
        </w:tc>
        <w:tc>
          <w:tcPr>
            <w:tcW w:type="dxa" w:w="3456"/>
            <w:vAlign w:val="center"/>
            <w:shd w:fill="F6F7F8"/>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Detailed implementation and test plan</w:t>
            </w:r>
          </w:p>
        </w:tc>
        <w:tc>
          <w:tcPr>
            <w:tcW w:type="dxa" w:w="4104"/>
            <w:vAlign w:val="center"/>
            <w:shd w:fill="F6F7F8"/>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Release gates in Section 25</w:t>
            </w:r>
          </w:p>
        </w:tc>
      </w:tr>
    </w:tbl>
    <w:p/>
    <w:p>
      <w:pPr>
        <w:pStyle w:val="Heading1"/>
      </w:pPr>
      <w:r>
        <w:t>4 Reference laptop purchase specification</w:t>
      </w:r>
    </w:p>
    <w:p>
      <w:pPr>
        <w:widowControl/>
      </w:pPr>
      <w:r>
        <w:t>Target a refurbished FZ-55 Mk1 with an Intel Core i5-8365U-class processor, 16 GB RAM initially, at least a 512 GB healthy SSD, genuine Windows 11 Pro entitlement, working TPM and Secure Boot, an OEM charger and a return period. Upgrade to 32 GB after verifying the exact model's memory specifications. A 1080p panel is preferable for packet traces and diagrams; lower-resolution stock can be accepted if the cost saving matters more. The USD 800 computer amount is a procurement ceiling target, not a verified configured offer.</w:t>
      </w:r>
    </w:p>
    <w:p>
      <w:pPr>
        <w:widowControl/>
      </w:pPr>
      <w:r>
        <w:t>The FZ-55 family has multiple generations and optional modules. A newer family page cannot establish the ports, modem, antennas, display or charging capability of a used Mk1. Before paying, obtain photographs of the exact SKU, BIOS inventory, battery report, ports and modem. Ask the reseller to demonstrate activated Windows 11, cellular IMEI recognition, the carrier's compatibility check and an actual data connection. A SIM slot does not establish that the modem or antennas are installed. Panasonic's family documentation and serial-specific support portal are the reference sources [S1, S2].</w:t>
      </w:r>
    </w:p>
    <w:p>
      <w:pPr>
        <w:widowControl/>
      </w:pPr>
      <w:r>
        <w:t>Reject BIOS-locked units, ambiguous operating-system licensing, swollen batteries, damaged hinges or nonfunctional Ethernet. Request at least 70 percent measured battery capacity for the supplied used battery; this is our acceptance threshold, not a vendor promise. Prefer a Mk2 at a modest premium if its condition, processor, radio support or warranty makes lifetime cost lower. Do not spend first-round money merely to own the newest Toughbook model.</w:t>
      </w:r>
    </w:p>
    <w:p>
      <w:pPr>
        <w:widowControl/>
      </w:pPr>
      <w:r>
        <w:t>Keep the OEM DC input and charger as the baseline power path. USB-C connector presence does not prove the particular unit accepts USB-C Power Delivery. Select vehicle power only after verifying input voltage, polarity, current and the approved adapter. The extra battery budget may not buy a genuine new pack; insist on a compatible reputable part and revise the budget if needed.</w:t>
      </w:r>
    </w:p>
    <w:p>
      <w:pPr>
        <w:widowControl/>
      </w:pPr>
      <w:r>
        <w:t>If Glen already owns a supported Windows 11 laptop with 16 GB RAM and sound battery health, prove the software on that machine first. A rugged case and spare backup may have better immediate value than changing computers. No product function requires a rugged chassis to be coded.</w:t>
      </w:r>
    </w:p>
    <w:p>
      <w:pPr>
        <w:pStyle w:val="Heading1"/>
      </w:pPr>
      <w:r>
        <w:t>5 Physical carrier and power design</w:t>
      </w:r>
    </w:p>
    <w:p>
      <w:pPr>
        <w:widowControl/>
      </w:pPr>
      <w:r>
        <w:t>The proposed half-duffel is a transport shell around independently removable modules. The Tech Pac remains the dirty-tools module; the messenger remains the clean computer and documents module; a padded center tray carries instruments and unusual supplies. Keep chargers, sharp tools, toner probes and metal adapters away from the computer screen. Keep optical cleaning supplies sealed and fiber scraps in a rigid sharps container.</w:t>
      </w:r>
    </w:p>
    <w:p>
      <w:pPr>
        <w:widowControl/>
      </w:pPr>
      <w:r>
        <w:t>Do not order a custom sewn bag from nominal product names. Measure both existing bags fully loaded, including handles, straps and protrusions. Set internal carrier width to the sum of the loaded module widths plus divider thickness and at least 25 mm clearance per removable module. Set depth and height to the maximum loaded dimensions plus padding and extraction clearance. If the messenger overlaps the tool pack in a real packing trial, model the actual three-dimensional arrangement rather than summing catalog volumes. The Norwalk exact SKU, dimensions and price remain unverified. Veto's Tech Pac listing supplies a current bag reference and USD 314.99 list price [S3]; neither bag is assumed already owned.</w:t>
      </w:r>
    </w:p>
    <w:p>
      <w:pPr>
        <w:widowControl/>
      </w:pPr>
      <w:r>
        <w:t>Make the first carrier from a commodity duffel, a removable rounded HDPE or plywood base, closed-cell padding, and replaceable dividers. Use webbing that passes continuously under the load, not handles sewn only to a side panel. Provide independent removal of the laptop bag without emptying tools. Do not alter or penetrate battery packs, build an internal mains distribution assembly, or charge lithium batteries in a closed insulated bag. Charging happens outside the bag with ventilation and approved supplies.</w:t>
      </w:r>
    </w:p>
    <w:p>
      <w:pPr>
        <w:widowControl/>
      </w:pPr>
      <w:r>
        <w:t>Plan roughly 10 to 14 kg for an equipped core kit and 15 to 20 kg for the expanded arrangement before cable stock, drills or two heavy Veto bags. These are engineering estimates pending a scale test, not measured shipping weights. Use the cart. Split the kit for stairs and ladders. Certification sets, ladder, lift, drill batteries, bulk cable, fusion splicer and power station belong in separate vehicle modules. The one-bag ambition is a transport convenience, not a reason to overload a shoulder or promise every specialty instrument fits.</w:t>
      </w:r>
    </w:p>
    <w:p>
      <w:pPr>
        <w:widowControl/>
      </w:pPr>
      <w:r>
        <w:t>Prototype acceptance: pack and weigh every item; carry and roll it; perform 20 removal and replacement cycles; verify handles, divider restraint and access; inspect after vehicle transport. Any load test needs a controlled fixture and excludes people beneath the bag. Weather and drop ratings require separate testing. The custom shell budget of USD 350 is optional R&amp;D, not a certified manufactured product.</w:t>
      </w:r>
    </w:p>
    <w:p>
      <w:pPr>
        <w:widowControl/>
      </w:pPr>
      <w:r>
        <w:t>Power planning uses measured watt-hours. For example, a measured 50 Wh usable laptop battery at an average 15 W delivers approximately 3.3 hours; two equivalent packs yield about 6.7 hours before swap losses and reserve. Measure with the actual modem, screen brightness and attached USB tools. CPU inference and USB instruments raise consumption. Never use a manufacturer's maximum runtime as the field planning figure.</w:t>
      </w:r>
    </w:p>
    <w:p>
      <w:pPr>
        <w:pStyle w:val="Heading1"/>
      </w:pPr>
      <w:r>
        <w:t>6 Hardware procurement budget</w:t>
      </w:r>
    </w:p>
    <w:p>
      <w:pPr>
        <w:widowControl/>
      </w:pPr>
      <w:r>
        <w:t>Amounts below are USD planning allowances per complete line, excluding the contingency. Small accessories are included only where stated. Pricing was researched on September 18 2026; a budget allowance is deliberately distinguished from an observed list price. The machine-specific modem, refurbished condition and regional taxes require actual quotations.</w:t>
      </w:r>
    </w:p>
    <w:tbl>
      <w:tblPr>
        <w:tblW w:type="auto" w:w="0"/>
        <w:tblLayout w:type="fixed"/>
        <w:tblLook w:firstColumn="1" w:firstRow="1" w:lastColumn="0" w:lastRow="0" w:noHBand="0" w:noVBand="1" w:val="04A0"/>
      </w:tblPr>
      <w:tblGrid>
        <w:gridCol w:w="8064"/>
        <w:gridCol w:w="1872"/>
      </w:tblGrid>
      <w:tr>
        <w:trPr>
          <w:cantSplit/>
          <w:tblHeader/>
        </w:trPr>
        <w:tc>
          <w:tcPr>
            <w:tcW w:type="dxa" w:w="8064"/>
            <w:vAlign w:val="center"/>
            <w:shd w:fill="E6ECF1"/>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sz w:val="18"/>
              </w:rPr>
              <w:t>Item</w:t>
            </w:r>
          </w:p>
        </w:tc>
        <w:tc>
          <w:tcPr>
            <w:tcW w:type="dxa" w:w="1872"/>
            <w:vAlign w:val="center"/>
            <w:shd w:fill="E6ECF1"/>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sz w:val="18"/>
              </w:rPr>
              <w:t>USD allowance</w:t>
            </w:r>
          </w:p>
        </w:tc>
      </w:tr>
      <w:tr>
        <w:trPr>
          <w:cantSplit/>
        </w:trPr>
        <w:tc>
          <w:tcPr>
            <w:tcW w:type="dxa" w:w="8064"/>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Refurbished Toughbook FZ-55 Mk1, 16 GB, 512 GB, Windows 11 Pro, charger</w:t>
            </w:r>
          </w:p>
        </w:tc>
        <w:tc>
          <w:tcPr>
            <w:tcW w:type="dxa" w:w="1872"/>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800.00</w:t>
            </w:r>
          </w:p>
        </w:tc>
      </w:tr>
      <w:tr>
        <w:trPr>
          <w:cantSplit/>
        </w:trPr>
        <w:tc>
          <w:tcPr>
            <w:tcW w:type="dxa" w:w="8064"/>
            <w:vAlign w:val="center"/>
            <w:shd w:fill="F6F7F8"/>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32 GB RAM upgrade allowance</w:t>
            </w:r>
          </w:p>
        </w:tc>
        <w:tc>
          <w:tcPr>
            <w:tcW w:type="dxa" w:w="1872"/>
            <w:vAlign w:val="center"/>
            <w:shd w:fill="F6F7F8"/>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65.00</w:t>
            </w:r>
          </w:p>
        </w:tc>
      </w:tr>
      <w:tr>
        <w:trPr>
          <w:cantSplit/>
        </w:trPr>
        <w:tc>
          <w:tcPr>
            <w:tcW w:type="dxa" w:w="8064"/>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OEM-compatible spare battery allowance</w:t>
            </w:r>
          </w:p>
        </w:tc>
        <w:tc>
          <w:tcPr>
            <w:tcW w:type="dxa" w:w="1872"/>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100.00</w:t>
            </w:r>
          </w:p>
        </w:tc>
      </w:tr>
      <w:tr>
        <w:trPr>
          <w:cantSplit/>
        </w:trPr>
        <w:tc>
          <w:tcPr>
            <w:tcW w:type="dxa" w:w="8064"/>
            <w:vAlign w:val="center"/>
            <w:shd w:fill="F6F7F8"/>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Installed carrier-compatible WWAN option allowance</w:t>
            </w:r>
          </w:p>
        </w:tc>
        <w:tc>
          <w:tcPr>
            <w:tcW w:type="dxa" w:w="1872"/>
            <w:vAlign w:val="center"/>
            <w:shd w:fill="F6F7F8"/>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140.00</w:t>
            </w:r>
          </w:p>
        </w:tc>
      </w:tr>
      <w:tr>
        <w:trPr>
          <w:cantSplit/>
        </w:trPr>
        <w:tc>
          <w:tcPr>
            <w:tcW w:type="dxa" w:w="8064"/>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External 1 TB SSD for encrypted backup</w:t>
            </w:r>
          </w:p>
        </w:tc>
        <w:tc>
          <w:tcPr>
            <w:tcW w:type="dxa" w:w="1872"/>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75.00</w:t>
            </w:r>
          </w:p>
        </w:tc>
      </w:tr>
      <w:tr>
        <w:trPr>
          <w:cantSplit/>
        </w:trPr>
        <w:tc>
          <w:tcPr>
            <w:tcW w:type="dxa" w:w="8064"/>
            <w:vAlign w:val="center"/>
            <w:shd w:fill="F6F7F8"/>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USB Ethernet adapter and powered USB hub</w:t>
            </w:r>
          </w:p>
        </w:tc>
        <w:tc>
          <w:tcPr>
            <w:tcW w:type="dxa" w:w="1872"/>
            <w:vAlign w:val="center"/>
            <w:shd w:fill="F6F7F8"/>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55.00</w:t>
            </w:r>
          </w:p>
        </w:tc>
      </w:tr>
      <w:tr>
        <w:trPr>
          <w:cantSplit/>
        </w:trPr>
        <w:tc>
          <w:tcPr>
            <w:tcW w:type="dxa" w:w="8064"/>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USB RS232 console kit, DB9 adapters and USB cables</w:t>
            </w:r>
          </w:p>
        </w:tc>
        <w:tc>
          <w:tcPr>
            <w:tcW w:type="dxa" w:w="1872"/>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50.00</w:t>
            </w:r>
          </w:p>
        </w:tc>
      </w:tr>
      <w:tr>
        <w:trPr>
          <w:cantSplit/>
        </w:trPr>
        <w:tc>
          <w:tcPr>
            <w:tcW w:type="dxa" w:w="8064"/>
            <w:vAlign w:val="center"/>
            <w:shd w:fill="F6F7F8"/>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NOYAFA NF-8508 copper diagnostic and optical power tool</w:t>
            </w:r>
          </w:p>
        </w:tc>
        <w:tc>
          <w:tcPr>
            <w:tcW w:type="dxa" w:w="1872"/>
            <w:vAlign w:val="center"/>
            <w:shd w:fill="F6F7F8"/>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120.00</w:t>
            </w:r>
          </w:p>
        </w:tc>
      </w:tr>
      <w:tr>
        <w:trPr>
          <w:cantSplit/>
        </w:trPr>
        <w:tc>
          <w:tcPr>
            <w:tcW w:type="dxa" w:w="8064"/>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Fiber cleaners, LC adapters and known-good patch leads</w:t>
            </w:r>
          </w:p>
        </w:tc>
        <w:tc>
          <w:tcPr>
            <w:tcW w:type="dxa" w:w="1872"/>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75.00</w:t>
            </w:r>
          </w:p>
        </w:tc>
      </w:tr>
      <w:tr>
        <w:trPr>
          <w:cantSplit/>
        </w:trPr>
        <w:tc>
          <w:tcPr>
            <w:tcW w:type="dxa" w:w="8064"/>
            <w:vAlign w:val="center"/>
            <w:shd w:fill="F6F7F8"/>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Klein MM400-class independent multimeter</w:t>
            </w:r>
          </w:p>
        </w:tc>
        <w:tc>
          <w:tcPr>
            <w:tcW w:type="dxa" w:w="1872"/>
            <w:vAlign w:val="center"/>
            <w:shd w:fill="F6F7F8"/>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65.00</w:t>
            </w:r>
          </w:p>
        </w:tc>
      </w:tr>
      <w:tr>
        <w:trPr>
          <w:cantSplit/>
        </w:trPr>
        <w:tc>
          <w:tcPr>
            <w:tcW w:type="dxa" w:w="8064"/>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Terminating, stripping, punchdown and basic hand tools</w:t>
            </w:r>
          </w:p>
        </w:tc>
        <w:tc>
          <w:tcPr>
            <w:tcW w:type="dxa" w:w="1872"/>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120.00</w:t>
            </w:r>
          </w:p>
        </w:tc>
      </w:tr>
      <w:tr>
        <w:trPr>
          <w:cantSplit/>
        </w:trPr>
        <w:tc>
          <w:tcPr>
            <w:tcW w:type="dxa" w:w="8064"/>
            <w:vAlign w:val="center"/>
            <w:shd w:fill="F6F7F8"/>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Patch leads, couplers, USB storage and passive adapters</w:t>
            </w:r>
          </w:p>
        </w:tc>
        <w:tc>
          <w:tcPr>
            <w:tcW w:type="dxa" w:w="1872"/>
            <w:vAlign w:val="center"/>
            <w:shd w:fill="F6F7F8"/>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65.00</w:t>
            </w:r>
          </w:p>
        </w:tc>
      </w:tr>
      <w:tr>
        <w:trPr>
          <w:cantSplit/>
        </w:trPr>
        <w:tc>
          <w:tcPr>
            <w:tcW w:type="dxa" w:w="8064"/>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Brother PT-H110-class standalone labeler and tape</w:t>
            </w:r>
          </w:p>
        </w:tc>
        <w:tc>
          <w:tcPr>
            <w:tcW w:type="dxa" w:w="1872"/>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55.00</w:t>
            </w:r>
          </w:p>
        </w:tc>
      </w:tr>
      <w:tr>
        <w:trPr>
          <w:cantSplit/>
        </w:trPr>
        <w:tc>
          <w:tcPr>
            <w:tcW w:type="dxa" w:w="8064"/>
            <w:vAlign w:val="center"/>
            <w:shd w:fill="F6F7F8"/>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USB or Bluetooth headset</w:t>
            </w:r>
          </w:p>
        </w:tc>
        <w:tc>
          <w:tcPr>
            <w:tcW w:type="dxa" w:w="1872"/>
            <w:vAlign w:val="center"/>
            <w:shd w:fill="F6F7F8"/>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40.00</w:t>
            </w:r>
          </w:p>
        </w:tc>
      </w:tr>
      <w:tr>
        <w:trPr>
          <w:cantSplit/>
        </w:trPr>
        <w:tc>
          <w:tcPr>
            <w:tcW w:type="dxa" w:w="8064"/>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Used compact inkjet printer, compatible power and ink allowance</w:t>
            </w:r>
          </w:p>
        </w:tc>
        <w:tc>
          <w:tcPr>
            <w:tcW w:type="dxa" w:w="1872"/>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180.00</w:t>
            </w:r>
          </w:p>
        </w:tc>
      </w:tr>
      <w:tr>
        <w:trPr>
          <w:cantSplit/>
        </w:trPr>
        <w:tc>
          <w:tcPr>
            <w:tcW w:type="dxa" w:w="8064"/>
            <w:vAlign w:val="center"/>
            <w:shd w:fill="F6F7F8"/>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Padded instrument pouches and dividers</w:t>
            </w:r>
          </w:p>
        </w:tc>
        <w:tc>
          <w:tcPr>
            <w:tcW w:type="dxa" w:w="1872"/>
            <w:vAlign w:val="center"/>
            <w:shd w:fill="F6F7F8"/>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50.00</w:t>
            </w:r>
          </w:p>
        </w:tc>
      </w:tr>
      <w:tr>
        <w:trPr>
          <w:cantSplit/>
        </w:trPr>
        <w:tc>
          <w:tcPr>
            <w:tcW w:type="dxa" w:w="8064"/>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Commodity duffel, removable stiff base and straps</w:t>
            </w:r>
          </w:p>
        </w:tc>
        <w:tc>
          <w:tcPr>
            <w:tcW w:type="dxa" w:w="1872"/>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90.00</w:t>
            </w:r>
          </w:p>
        </w:tc>
      </w:tr>
      <w:tr>
        <w:trPr>
          <w:cantSplit/>
        </w:trPr>
        <w:tc>
          <w:tcPr>
            <w:tcW w:type="dxa" w:w="8064"/>
            <w:vAlign w:val="center"/>
            <w:shd w:fill="F6F7F8"/>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Hand cart</w:t>
            </w:r>
          </w:p>
        </w:tc>
        <w:tc>
          <w:tcPr>
            <w:tcW w:type="dxa" w:w="1872"/>
            <w:vAlign w:val="center"/>
            <w:shd w:fill="F6F7F8"/>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50.00</w:t>
            </w:r>
          </w:p>
        </w:tc>
      </w:tr>
      <w:tr>
        <w:trPr>
          <w:cantSplit/>
        </w:trPr>
        <w:tc>
          <w:tcPr>
            <w:tcW w:type="dxa" w:w="8064"/>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Glasses, gloves, headlamp and ESD consumables</w:t>
            </w:r>
          </w:p>
        </w:tc>
        <w:tc>
          <w:tcPr>
            <w:tcW w:type="dxa" w:w="1872"/>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50.00</w:t>
            </w:r>
          </w:p>
        </w:tc>
      </w:tr>
      <w:tr>
        <w:trPr>
          <w:cantSplit/>
        </w:trPr>
        <w:tc>
          <w:tcPr>
            <w:tcW w:type="dxa" w:w="8064"/>
            <w:vAlign w:val="center"/>
            <w:shd w:fill="F6F7F8"/>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Known-good managed 1GbE test switch and PoE injector</w:t>
            </w:r>
          </w:p>
        </w:tc>
        <w:tc>
          <w:tcPr>
            <w:tcW w:type="dxa" w:w="1872"/>
            <w:vAlign w:val="center"/>
            <w:shd w:fill="F6F7F8"/>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75.00</w:t>
            </w:r>
          </w:p>
        </w:tc>
      </w:tr>
      <w:tr>
        <w:trPr>
          <w:cantSplit/>
        </w:trPr>
        <w:tc>
          <w:tcPr>
            <w:tcW w:type="dxa" w:w="8064"/>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Total</w:t>
            </w:r>
          </w:p>
        </w:tc>
        <w:tc>
          <w:tcPr>
            <w:tcW w:type="dxa" w:w="1872"/>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2,320.00</w:t>
            </w:r>
          </w:p>
        </w:tc>
      </w:tr>
    </w:tbl>
    <w:p/>
    <w:p>
      <w:pPr>
        <w:widowControl/>
      </w:pPr>
      <w:r>
        <w:t>The core total is USD 2,320. The optical power meter included in the NF-8508 is not a light source or a certification set. Its USD 120 allowance corresponds approximately to the manufacturer's advertised starting price of USD 119.99; variant and shipping selection must be checked [S4].</w:t>
      </w:r>
    </w:p>
    <w:tbl>
      <w:tblPr>
        <w:tblW w:type="auto" w:w="0"/>
        <w:tblLayout w:type="fixed"/>
        <w:tblLook w:firstColumn="1" w:firstRow="1" w:lastColumn="0" w:lastRow="0" w:noHBand="0" w:noVBand="1" w:val="04A0"/>
      </w:tblPr>
      <w:tblGrid>
        <w:gridCol w:w="8064"/>
        <w:gridCol w:w="1872"/>
      </w:tblGrid>
      <w:tr>
        <w:trPr>
          <w:cantSplit/>
          <w:tblHeader/>
        </w:trPr>
        <w:tc>
          <w:tcPr>
            <w:tcW w:type="dxa" w:w="8064"/>
            <w:vAlign w:val="center"/>
            <w:shd w:fill="E6ECF1"/>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sz w:val="18"/>
              </w:rPr>
              <w:t>Item</w:t>
            </w:r>
          </w:p>
        </w:tc>
        <w:tc>
          <w:tcPr>
            <w:tcW w:type="dxa" w:w="1872"/>
            <w:vAlign w:val="center"/>
            <w:shd w:fill="E6ECF1"/>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sz w:val="18"/>
              </w:rPr>
              <w:t>USD allowance</w:t>
            </w:r>
          </w:p>
        </w:tc>
      </w:tr>
      <w:tr>
        <w:trPr>
          <w:cantSplit/>
        </w:trPr>
        <w:tc>
          <w:tcPr>
            <w:tcW w:type="dxa" w:w="8064"/>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Hantek 6022BE USB scope and probe allowance</w:t>
            </w:r>
          </w:p>
        </w:tc>
        <w:tc>
          <w:tcPr>
            <w:tcW w:type="dxa" w:w="1872"/>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80.00</w:t>
            </w:r>
          </w:p>
        </w:tc>
      </w:tr>
      <w:tr>
        <w:trPr>
          <w:cantSplit/>
        </w:trPr>
        <w:tc>
          <w:tcPr>
            <w:tcW w:type="dxa" w:w="8064"/>
            <w:vAlign w:val="center"/>
            <w:shd w:fill="F6F7F8"/>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Generic fx2lafw-compatible logic analyzer and safe-level leads</w:t>
            </w:r>
          </w:p>
        </w:tc>
        <w:tc>
          <w:tcPr>
            <w:tcW w:type="dxa" w:w="1872"/>
            <w:vAlign w:val="center"/>
            <w:shd w:fill="F6F7F8"/>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20.00</w:t>
            </w:r>
          </w:p>
        </w:tc>
      </w:tr>
      <w:tr>
        <w:trPr>
          <w:cantSplit/>
        </w:trPr>
        <w:tc>
          <w:tcPr>
            <w:tcW w:type="dxa" w:w="8064"/>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Isolated RS485 USB adapter and breakout terminals</w:t>
            </w:r>
          </w:p>
        </w:tc>
        <w:tc>
          <w:tcPr>
            <w:tcW w:type="dxa" w:w="1872"/>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45.00</w:t>
            </w:r>
          </w:p>
        </w:tc>
      </w:tr>
      <w:tr>
        <w:trPr>
          <w:cantSplit/>
        </w:trPr>
        <w:tc>
          <w:tcPr>
            <w:tcW w:type="dxa" w:w="8064"/>
            <w:vAlign w:val="center"/>
            <w:shd w:fill="F6F7F8"/>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tinySA Ultra+ ZS407 authentic unit and input accessories</w:t>
            </w:r>
          </w:p>
        </w:tc>
        <w:tc>
          <w:tcPr>
            <w:tcW w:type="dxa" w:w="1872"/>
            <w:vAlign w:val="center"/>
            <w:shd w:fill="F6F7F8"/>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220.00</w:t>
            </w:r>
          </w:p>
        </w:tc>
      </w:tr>
      <w:tr>
        <w:trPr>
          <w:cantSplit/>
        </w:trPr>
        <w:tc>
          <w:tcPr>
            <w:tcW w:type="dxa" w:w="8064"/>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HIKMICRO Mini2 V2-class phone thermal camera</w:t>
            </w:r>
          </w:p>
        </w:tc>
        <w:tc>
          <w:tcPr>
            <w:tcW w:type="dxa" w:w="1872"/>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220.00</w:t>
            </w:r>
          </w:p>
        </w:tc>
      </w:tr>
      <w:tr>
        <w:trPr>
          <w:cantSplit/>
        </w:trPr>
        <w:tc>
          <w:tcPr>
            <w:tcW w:type="dxa" w:w="8064"/>
            <w:vAlign w:val="center"/>
            <w:shd w:fill="F6F7F8"/>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Digital fiber inspection probe with LC and SC tips allowance</w:t>
            </w:r>
          </w:p>
        </w:tc>
        <w:tc>
          <w:tcPr>
            <w:tcW w:type="dxa" w:w="1872"/>
            <w:vAlign w:val="center"/>
            <w:shd w:fill="F6F7F8"/>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140.00</w:t>
            </w:r>
          </w:p>
        </w:tc>
      </w:tr>
      <w:tr>
        <w:trPr>
          <w:cantSplit/>
        </w:trPr>
        <w:tc>
          <w:tcPr>
            <w:tcW w:type="dxa" w:w="8064"/>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1310 and 1550 nm stable optical light source allowance</w:t>
            </w:r>
          </w:p>
        </w:tc>
        <w:tc>
          <w:tcPr>
            <w:tcW w:type="dxa" w:w="1872"/>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80.00</w:t>
            </w:r>
          </w:p>
        </w:tc>
      </w:tr>
      <w:tr>
        <w:trPr>
          <w:cantSplit/>
        </w:trPr>
        <w:tc>
          <w:tcPr>
            <w:tcW w:type="dxa" w:w="8064"/>
            <w:vAlign w:val="center"/>
            <w:shd w:fill="F6F7F8"/>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Economy IP and analog CCTV tester with specified formats allowance</w:t>
            </w:r>
          </w:p>
        </w:tc>
        <w:tc>
          <w:tcPr>
            <w:tcW w:type="dxa" w:w="1872"/>
            <w:vAlign w:val="center"/>
            <w:shd w:fill="F6F7F8"/>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180.00</w:t>
            </w:r>
          </w:p>
        </w:tc>
      </w:tr>
      <w:tr>
        <w:trPr>
          <w:cantSplit/>
        </w:trPr>
        <w:tc>
          <w:tcPr>
            <w:tcW w:type="dxa" w:w="8064"/>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Coax mapper, BNC and F adapters</w:t>
            </w:r>
          </w:p>
        </w:tc>
        <w:tc>
          <w:tcPr>
            <w:tcW w:type="dxa" w:w="1872"/>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35.00</w:t>
            </w:r>
          </w:p>
        </w:tc>
      </w:tr>
      <w:tr>
        <w:trPr>
          <w:cantSplit/>
        </w:trPr>
        <w:tc>
          <w:tcPr>
            <w:tcW w:type="dxa" w:w="8064"/>
            <w:vAlign w:val="center"/>
            <w:shd w:fill="F6F7F8"/>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Pinecil V2 with supply, cable, tip and stand</w:t>
            </w:r>
          </w:p>
        </w:tc>
        <w:tc>
          <w:tcPr>
            <w:tcW w:type="dxa" w:w="1872"/>
            <w:vAlign w:val="center"/>
            <w:shd w:fill="F6F7F8"/>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65.00</w:t>
            </w:r>
          </w:p>
        </w:tc>
      </w:tr>
      <w:tr>
        <w:trPr>
          <w:cantSplit/>
        </w:trPr>
        <w:tc>
          <w:tcPr>
            <w:tcW w:type="dxa" w:w="8064"/>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Used analog telephone butt set rated for intended lines</w:t>
            </w:r>
          </w:p>
        </w:tc>
        <w:tc>
          <w:tcPr>
            <w:tcW w:type="dxa" w:w="1872"/>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60.00</w:t>
            </w:r>
          </w:p>
        </w:tc>
      </w:tr>
      <w:tr>
        <w:trPr>
          <w:cantSplit/>
        </w:trPr>
        <w:tc>
          <w:tcPr>
            <w:tcW w:type="dxa" w:w="8064"/>
            <w:vAlign w:val="center"/>
            <w:shd w:fill="F6F7F8"/>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Additional instrument padding and leads</w:t>
            </w:r>
          </w:p>
        </w:tc>
        <w:tc>
          <w:tcPr>
            <w:tcW w:type="dxa" w:w="1872"/>
            <w:vAlign w:val="center"/>
            <w:shd w:fill="F6F7F8"/>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40.00</w:t>
            </w:r>
          </w:p>
        </w:tc>
      </w:tr>
      <w:tr>
        <w:trPr>
          <w:cantSplit/>
        </w:trPr>
        <w:tc>
          <w:tcPr>
            <w:tcW w:type="dxa" w:w="8064"/>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Total</w:t>
            </w:r>
          </w:p>
        </w:tc>
        <w:tc>
          <w:tcPr>
            <w:tcW w:type="dxa" w:w="1872"/>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1,185.00</w:t>
            </w:r>
          </w:p>
        </w:tc>
      </w:tr>
    </w:tbl>
    <w:p/>
    <w:p>
      <w:pPr>
        <w:widowControl/>
      </w:pPr>
      <w:r>
        <w:t>The expanded instruments total USD 1,185. Core plus expanded is USD 3,505. The scope, thermal camera, fiber probe, source and CCTV figures are planning allowances for low-end devices; replace a line if the exact purchased unit does not meet the task. The Pinecil itself is listed at USD 25.99, but power, cable, shipping and safe bench accessories justify a higher assembled-kit allowance [S5].</w:t>
      </w:r>
    </w:p>
    <w:tbl>
      <w:tblPr>
        <w:tblW w:type="auto" w:w="0"/>
        <w:tblLayout w:type="fixed"/>
        <w:tblLook w:firstColumn="1" w:firstRow="1" w:lastColumn="0" w:lastRow="0" w:noHBand="0" w:noVBand="1" w:val="04A0"/>
      </w:tblPr>
      <w:tblGrid>
        <w:gridCol w:w="8064"/>
        <w:gridCol w:w="1872"/>
      </w:tblGrid>
      <w:tr>
        <w:trPr>
          <w:cantSplit/>
          <w:tblHeader/>
        </w:trPr>
        <w:tc>
          <w:tcPr>
            <w:tcW w:type="dxa" w:w="8064"/>
            <w:vAlign w:val="center"/>
            <w:shd w:fill="E6ECF1"/>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sz w:val="18"/>
              </w:rPr>
              <w:t>Item</w:t>
            </w:r>
          </w:p>
        </w:tc>
        <w:tc>
          <w:tcPr>
            <w:tcW w:type="dxa" w:w="1872"/>
            <w:vAlign w:val="center"/>
            <w:shd w:fill="E6ECF1"/>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sz w:val="18"/>
              </w:rPr>
              <w:t>USD allowance</w:t>
            </w:r>
          </w:p>
        </w:tc>
      </w:tr>
      <w:tr>
        <w:trPr>
          <w:cantSplit/>
        </w:trPr>
        <w:tc>
          <w:tcPr>
            <w:tcW w:type="dxa" w:w="8064"/>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Veto Tech Pac new observed list price</w:t>
            </w:r>
          </w:p>
        </w:tc>
        <w:tc>
          <w:tcPr>
            <w:tcW w:type="dxa" w:w="1872"/>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314.99</w:t>
            </w:r>
          </w:p>
        </w:tc>
      </w:tr>
      <w:tr>
        <w:trPr>
          <w:cantSplit/>
        </w:trPr>
        <w:tc>
          <w:tcPr>
            <w:tcW w:type="dxa" w:w="8064"/>
            <w:vAlign w:val="center"/>
            <w:shd w:fill="F6F7F8"/>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Norwalk messenger planning reserve, exact SKU and price unverified</w:t>
            </w:r>
          </w:p>
        </w:tc>
        <w:tc>
          <w:tcPr>
            <w:tcW w:type="dxa" w:w="1872"/>
            <w:vAlign w:val="center"/>
            <w:shd w:fill="F6F7F8"/>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180.00</w:t>
            </w:r>
          </w:p>
        </w:tc>
      </w:tr>
      <w:tr>
        <w:trPr>
          <w:cantSplit/>
        </w:trPr>
        <w:tc>
          <w:tcPr>
            <w:tcW w:type="dxa" w:w="8064"/>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Custom outer carrier prototype allowance</w:t>
            </w:r>
          </w:p>
        </w:tc>
        <w:tc>
          <w:tcPr>
            <w:tcW w:type="dxa" w:w="1872"/>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350.00</w:t>
            </w:r>
          </w:p>
        </w:tc>
      </w:tr>
      <w:tr>
        <w:trPr>
          <w:cantSplit/>
        </w:trPr>
        <w:tc>
          <w:tcPr>
            <w:tcW w:type="dxa" w:w="8064"/>
            <w:vAlign w:val="center"/>
            <w:shd w:fill="F6F7F8"/>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Spare used mini PC or laptop as traffic-test endpoint</w:t>
            </w:r>
          </w:p>
        </w:tc>
        <w:tc>
          <w:tcPr>
            <w:tcW w:type="dxa" w:w="1872"/>
            <w:vAlign w:val="center"/>
            <w:shd w:fill="F6F7F8"/>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100.00</w:t>
            </w:r>
          </w:p>
        </w:tc>
      </w:tr>
      <w:tr>
        <w:trPr>
          <w:cantSplit/>
        </w:trPr>
        <w:tc>
          <w:tcPr>
            <w:tcW w:type="dxa" w:w="8064"/>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USB CAN adapter and isolated interface allowance</w:t>
            </w:r>
          </w:p>
        </w:tc>
        <w:tc>
          <w:tcPr>
            <w:tcW w:type="dxa" w:w="1872"/>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80.00</w:t>
            </w:r>
          </w:p>
        </w:tc>
      </w:tr>
      <w:tr>
        <w:trPr>
          <w:cantSplit/>
        </w:trPr>
        <w:tc>
          <w:tcPr>
            <w:tcW w:type="dxa" w:w="8064"/>
            <w:vAlign w:val="center"/>
            <w:shd w:fill="F6F7F8"/>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Total</w:t>
            </w:r>
          </w:p>
        </w:tc>
        <w:tc>
          <w:tcPr>
            <w:tcW w:type="dxa" w:w="1872"/>
            <w:vAlign w:val="center"/>
            <w:shd w:fill="F6F7F8"/>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1,024.99</w:t>
            </w:r>
          </w:p>
        </w:tc>
      </w:tr>
    </w:tbl>
    <w:p/>
    <w:p>
      <w:pPr>
        <w:widowControl/>
      </w:pPr>
      <w:r>
        <w:t>The optional lines sum to USD 1,024.99 if all are bought. They are excluded from the USD 3,505 total. Do not buy the custom carrier and a second new bag simply to satisfy the concept if the current bags work. A traffic-test endpoint is useful; the customer switch alone cannot act as an iperf server.</w:t>
      </w:r>
    </w:p>
    <w:p>
      <w:pPr>
        <w:widowControl/>
      </w:pPr>
      <w:r>
        <w:t>A from-zero expanded purchase including every optional line is USD 4,529.99, or approximately USD 5,436 with the same 20 percent contingency. This is the upper prototype configuration, not the recommended opening spend. Certification rental, insurance, bulk job materials, ladders, specialty PPE, shipping returns and owner labor are separate.</w:t>
      </w:r>
    </w:p>
    <w:p>
      <w:pPr>
        <w:pStyle w:val="Heading1"/>
      </w:pPr>
      <w:r>
        <w:t>7 Instrument capability and limitations</w:t>
      </w:r>
    </w:p>
    <w:p>
      <w:pPr>
        <w:widowControl/>
      </w:pPr>
      <w:r>
        <w:t>Use a tool registry with make, exact model, serial, firmware, accessories, acquisition cost, owner, availability, verification date and calibration evidence. A photograph of a display is valid as manually captured diagnostic evidence when correctly labeled; it is not a digitally signed manufacturer certificate. In the local core, store the registry as sourced instrument records and attach the underlying files. Automatic registry enforcement remains development work.</w:t>
      </w:r>
    </w:p>
    <w:p>
      <w:pPr>
        <w:widowControl/>
      </w:pPr>
      <w:r>
        <w:t>Copper diagnostics use the NF-8508 for its documented mapping, tracing, length, port-flash, PoE-related and optical functions [S4]. Confirm the actual model manual before using an active port. A length estimate is not guaranteed fault localization, and nominal PoE detection is not a load test of every 802.3bt power class. Bring a known-good cable, test switch, endpoint and injector to separate cable, port, endpoint and power faults. Never represent wiremap plus ping as Cat6A permanent-link certification.</w:t>
      </w:r>
    </w:p>
    <w:p>
      <w:pPr>
        <w:widowControl/>
      </w:pPr>
      <w:r>
        <w:t>For formal copper certification, rent a calibrated Fluke DSX-class set with the correct permanent-link or channel adapters and the buyer's specified test limit. Budget USD 150 to 350 per day or USD 500 to 1,000 per week as a quotation allowance, not a researched rate. Freight, deposit, calibration and report software are additional quote items. The buyer must accept the selected test method and reports. Keep original reports and PDF export together.</w:t>
      </w:r>
    </w:p>
    <w:p>
      <w:pPr>
        <w:widowControl/>
      </w:pPr>
      <w:r>
        <w:t>Fiber diagnosis requires inspection, cleaning and reinspection; a calibrated reference source and meter for insertion-loss work; correct wavelength, fiber type and connector polish; and known-good reference cords. The core meter alone can observe power but cannot generate a known reference for loss. The expanded light source is 1310 and 1550 nm single-mode-oriented; it does not supply 850 and 1300 nm multimode sources. Rent or add the appropriate OLTS for multimode and contractual certification. A VFL can show continuity or an obvious break but is not an OTDR. Do not look into fibers or use a visible-light tester on an active service without the appropriate procedure. Factory laser class and output must be verified.</w:t>
      </w:r>
    </w:p>
    <w:p>
      <w:pPr>
        <w:widowControl/>
      </w:pPr>
      <w:r>
        <w:t>Use a digital inspection probe with suitable adapters; a generic USB microscope is not a substitute for a proper fiber inspection probe, and no automatic IEC pass/fail grading is implied. An OTDR trace needs launch and receive cords, appropriate pulse width, index and event interpretation. Rent it when required; a low-cost product listing is not evidence of report acceptability. A service-budget placeholder of USD 150 to 350 per day covers initial rental planning only.</w:t>
      </w:r>
    </w:p>
    <w:p>
      <w:pPr>
        <w:widowControl/>
      </w:pPr>
      <w:r>
        <w:t>Wireless first-round work uses Windows radio observations, the authorized AP controller's telemetry, floor-plan notes and measured application performance. Record location, height, band, channel, channel width, BSSID, adapter and time. Windows Wi-Fi scanning does not reveal non-Wi-Fi energy or reliably capture all monitor-mode traffic. A tinySA Ultra+ ZS407 gives exploratory spectrum observations; model variants differ significantly, and swept measurements can miss short transmissions or produce misleading images [S6]. No calibrated enterprise Wi-Fi survey or spectrum certification is promised. An RTL-SDR alone is not a 2.4/5/6 GHz analyzer. Rent a suitable survey solution where the deliverable requires one.</w:t>
      </w:r>
    </w:p>
    <w:p>
      <w:pPr>
        <w:widowControl/>
      </w:pPr>
      <w:r>
        <w:t>Serial work uses an actual RS232 console adapter and documented pinouts. TTL UART, RS232, RS485 and CAN are electrically different; connector adapters do not translate signaling. Use an isolated RS485 interface for building-system buses, observe bias and termination, and connect only under the system owner's procedure. CAN adds a transceiver, termination analysis and correct bitrate. The optional CAN allowance does not include every industrial protocol license.</w:t>
      </w:r>
    </w:p>
    <w:p>
      <w:pPr>
        <w:widowControl/>
      </w:pPr>
      <w:r>
        <w:t>For electronics, the Hantek 6022BE is a low-cost two-channel USB scope with documented 20 MHz bandwidth and 48 MSa/s nominal sampling [S7]. It is for appropriate isolated low-voltage work; its USB and channel grounds are not a mains isolation barrier. A cheap USB isolator may be too slow and is not a safety-rated differential probe. Do not attach it directly to mains, line-referenced supplies, unknown building wiring or live telephone ringing circuits. Use the independent meter within its actual rating and training limits. Budget logic analyzers require verified input-voltage limits and use open sigrok-compatible software, not unauthorized vendor clone software.</w:t>
      </w:r>
    </w:p>
    <w:p>
      <w:pPr>
        <w:widowControl/>
      </w:pPr>
      <w:r>
        <w:t>CCTV uses the laptop, vendor configuration utility and VLC/FFmpeg for authorized IP streams. ONVIF support is model-specific and does not guarantee configuration support. For analog coax cameras, buy a tester only after matching TVI, CVI, AHD, CVBS, resolution and power requirements. The USD 180 tester allowance may need replacement for a particular format. A USB webcam capture dongle is not a universal analog CCTV tester.</w:t>
      </w:r>
    </w:p>
    <w:p>
      <w:pPr>
        <w:widowControl/>
      </w:pPr>
      <w:r>
        <w:t>Access control and building systems use the independent meter, isolated serial interface, approved vendor tools and site drawings. Verify contact voltage, dry versus powered contacts, reader interface and door state. Do not bypass interlocks or disconnect life-safety interfaces to make a diagnostic procedure fit. Fire alarm acceptance, elevator controls and regulated electrical work are outside a general network kit unless the technician and instruments satisfy the actual job requirements.</w:t>
      </w:r>
    </w:p>
    <w:p>
      <w:pPr>
        <w:widowControl/>
      </w:pPr>
      <w:r>
        <w:t>Coax mapping, simple continuity and connector work do not certify CATV MER/BER or RF plant performance. Analog telephone work needs a suitable butt set and line rating. Thermal images are screening evidence; emissivity, reflections, load and distance affect interpretation. Keep the radiometric original when supported. A phone image alone does not substantiate a calibrated temperature claim. Specialty equipment remains rentable and separately tracked rather than represented as included functionality.</w:t>
      </w:r>
    </w:p>
    <w:p>
      <w:pPr>
        <w:pStyle w:val="Heading1"/>
      </w:pPr>
      <w:r>
        <w:t>8 Software stack and ownership cost</w:t>
      </w:r>
    </w:p>
    <w:p>
      <w:pPr>
        <w:widowControl/>
      </w:pPr>
      <w:r>
        <w:t>Windows 11 Pro is included only if the computer actually has a valid license. Do not buy an unsupported Windows 10 machine on the assumption that security updates or a bypassed installation solve commercial support. Use BitLocker, Defender, standard-user operation and a separate administrator identity. Windows, driver and firmware support must be verified for the serial-numbered unit.</w:t>
      </w:r>
    </w:p>
    <w:p>
      <w:pPr>
        <w:widowControl/>
      </w:pPr>
      <w:r>
        <w:t>The local core uses Python 3.12 and standard-library SQLite, Tk and HTML generation. It requires no monthly application subscription and no server. LibreOffice handles office documents and reviewed PDF export; Wireshark handles capture analysis; PuTTY handles terminal sessions; WinSCP transfers approved files; FFmpeg or VLC validates streams. Vendor instrument applications remain separate utilities. Npcap's free-use and redistribution conditions require attention before resale; it is not bundled into this product [S8].</w:t>
      </w:r>
    </w:p>
    <w:p>
      <w:pPr>
        <w:widowControl/>
      </w:pPr>
      <w:r>
        <w:t>Use iperf2 on supported native Windows builds or run iperf3 between qualified Linux endpoints. ESnet does not officially support iperf3 on Windows [S9]. Do not present a random executable download as a validated throughput standard. Retain tool versions, server and client commands, endpoint CPU load, link speed and run duration with results.</w:t>
      </w:r>
    </w:p>
    <w:p>
      <w:pPr>
        <w:widowControl/>
      </w:pPr>
      <w:r>
        <w:t>Local assistance uses a downloaded Ollama model, initially Qwen2.5 7B Instruct Q4_K_M as a conservative baseline with a documented Apache 2.0 model license reference [S10]. This is a baseline to evaluate, not a claim that an old laptop will deliver conversational real-time performance. The 3B variant has different licensing; do not silently substitute it because its number is smaller. Keep model hash, license and test results in the build record. The kit's request adapter only calls 127.0.0.1 and never falls back to a paid provider. No cloud credentials have been created or used.</w:t>
      </w:r>
    </w:p>
    <w:tbl>
      <w:tblPr>
        <w:tblW w:type="auto" w:w="0"/>
        <w:tblLayout w:type="fixed"/>
        <w:tblLook w:firstColumn="1" w:firstRow="1" w:lastColumn="0" w:lastRow="0" w:noHBand="0" w:noVBand="1" w:val="04A0"/>
      </w:tblPr>
      <w:tblGrid>
        <w:gridCol w:w="2376"/>
        <w:gridCol w:w="3456"/>
        <w:gridCol w:w="4104"/>
      </w:tblGrid>
      <w:tr>
        <w:trPr>
          <w:cantSplit/>
          <w:tblHeader/>
        </w:trPr>
        <w:tc>
          <w:tcPr>
            <w:tcW w:type="dxa" w:w="2376"/>
            <w:vAlign w:val="center"/>
            <w:shd w:fill="E6ECF1"/>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sz w:val="18"/>
              </w:rPr>
              <w:t>Recurring service</w:t>
            </w:r>
          </w:p>
        </w:tc>
        <w:tc>
          <w:tcPr>
            <w:tcW w:type="dxa" w:w="3456"/>
            <w:vAlign w:val="center"/>
            <w:shd w:fill="E6ECF1"/>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sz w:val="18"/>
              </w:rPr>
              <w:t>Monthly planning amount</w:t>
            </w:r>
          </w:p>
        </w:tc>
        <w:tc>
          <w:tcPr>
            <w:tcW w:type="dxa" w:w="4104"/>
            <w:vAlign w:val="center"/>
            <w:shd w:fill="E6ECF1"/>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sz w:val="18"/>
              </w:rPr>
              <w:t>Basis</w:t>
            </w:r>
          </w:p>
        </w:tc>
      </w:tr>
      <w:tr>
        <w:trPr>
          <w:cantSplit/>
        </w:trPr>
        <w:tc>
          <w:tcPr>
            <w:tcW w:type="dxa" w:w="237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Local application and local inference</w:t>
            </w:r>
          </w:p>
        </w:tc>
        <w:tc>
          <w:tcPr>
            <w:tcW w:type="dxa" w:w="345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0</w:t>
            </w:r>
          </w:p>
        </w:tc>
        <w:tc>
          <w:tcPr>
            <w:tcW w:type="dxa" w:w="4104"/>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Existing electricity and hardware excluded</w:t>
            </w:r>
          </w:p>
        </w:tc>
      </w:tr>
      <w:tr>
        <w:trPr>
          <w:cantSplit/>
        </w:trPr>
        <w:tc>
          <w:tcPr>
            <w:tcW w:type="dxa" w:w="2376"/>
            <w:vAlign w:val="center"/>
            <w:shd w:fill="F6F7F8"/>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LTE data plan</w:t>
            </w:r>
          </w:p>
        </w:tc>
        <w:tc>
          <w:tcPr>
            <w:tcW w:type="dxa" w:w="3456"/>
            <w:vAlign w:val="center"/>
            <w:shd w:fill="F6F7F8"/>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25 to 50</w:t>
            </w:r>
          </w:p>
        </w:tc>
        <w:tc>
          <w:tcPr>
            <w:tcW w:type="dxa" w:w="4104"/>
            <w:vAlign w:val="center"/>
            <w:shd w:fill="F6F7F8"/>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Carrier and IMEI-specific quote required</w:t>
            </w:r>
          </w:p>
        </w:tc>
      </w:tr>
      <w:tr>
        <w:trPr>
          <w:cantSplit/>
        </w:trPr>
        <w:tc>
          <w:tcPr>
            <w:tcW w:type="dxa" w:w="237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Business email and domain</w:t>
            </w:r>
          </w:p>
        </w:tc>
        <w:tc>
          <w:tcPr>
            <w:tcW w:type="dxa" w:w="345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8 to 15</w:t>
            </w:r>
          </w:p>
        </w:tc>
        <w:tc>
          <w:tcPr>
            <w:tcW w:type="dxa" w:w="4104"/>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Planning allowance, renewal and storage vary</w:t>
            </w:r>
          </w:p>
        </w:tc>
      </w:tr>
      <w:tr>
        <w:trPr>
          <w:cantSplit/>
        </w:trPr>
        <w:tc>
          <w:tcPr>
            <w:tcW w:type="dxa" w:w="2376"/>
            <w:vAlign w:val="center"/>
            <w:shd w:fill="F6F7F8"/>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Encrypted off-device backup</w:t>
            </w:r>
          </w:p>
        </w:tc>
        <w:tc>
          <w:tcPr>
            <w:tcW w:type="dxa" w:w="3456"/>
            <w:vAlign w:val="center"/>
            <w:shd w:fill="F6F7F8"/>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0 to 8</w:t>
            </w:r>
          </w:p>
        </w:tc>
        <w:tc>
          <w:tcPr>
            <w:tcW w:type="dxa" w:w="4104"/>
            <w:vAlign w:val="center"/>
            <w:shd w:fill="F6F7F8"/>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Second owned drive or selected cloud storage</w:t>
            </w:r>
          </w:p>
        </w:tc>
      </w:tr>
      <w:tr>
        <w:trPr>
          <w:cantSplit/>
        </w:trPr>
        <w:tc>
          <w:tcPr>
            <w:tcW w:type="dxa" w:w="237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Business voice at 500 forwarded minutes</w:t>
            </w:r>
          </w:p>
        </w:tc>
        <w:tc>
          <w:tcPr>
            <w:tcW w:type="dxa" w:w="345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About 12.40 plus extras</w:t>
            </w:r>
          </w:p>
        </w:tc>
        <w:tc>
          <w:tcPr>
            <w:tcW w:type="dxa" w:w="4104"/>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1.15 number plus 500 times 0.0085 and 0.014 dollars [S11]</w:t>
            </w:r>
          </w:p>
        </w:tc>
      </w:tr>
      <w:tr>
        <w:trPr>
          <w:cantSplit/>
        </w:trPr>
        <w:tc>
          <w:tcPr>
            <w:tcW w:type="dxa" w:w="2376"/>
            <w:vAlign w:val="center"/>
            <w:shd w:fill="F6F7F8"/>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Speech recognition, recordings and Functions</w:t>
            </w:r>
          </w:p>
        </w:tc>
        <w:tc>
          <w:tcPr>
            <w:tcW w:type="dxa" w:w="3456"/>
            <w:vAlign w:val="center"/>
            <w:shd w:fill="F6F7F8"/>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5 to 20 reserve</w:t>
            </w:r>
          </w:p>
        </w:tc>
        <w:tc>
          <w:tcPr>
            <w:tcW w:type="dxa" w:w="4104"/>
            <w:vAlign w:val="center"/>
            <w:shd w:fill="F6F7F8"/>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Usage and selected features, verify at provisioning</w:t>
            </w:r>
          </w:p>
        </w:tc>
      </w:tr>
      <w:tr>
        <w:trPr>
          <w:cantSplit/>
        </w:trPr>
        <w:tc>
          <w:tcPr>
            <w:tcW w:type="dxa" w:w="237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Fax service</w:t>
            </w:r>
          </w:p>
        </w:tc>
        <w:tc>
          <w:tcPr>
            <w:tcW w:type="dxa" w:w="345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3.49 plus usage, or 7.95 plan</w:t>
            </w:r>
          </w:p>
        </w:tc>
        <w:tc>
          <w:tcPr>
            <w:tcW w:type="dxa" w:w="4104"/>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FAXAGE published options, setup fee additional [S12]</w:t>
            </w:r>
          </w:p>
        </w:tc>
      </w:tr>
      <w:tr>
        <w:trPr>
          <w:cantSplit/>
        </w:trPr>
        <w:tc>
          <w:tcPr>
            <w:tcW w:type="dxa" w:w="2376"/>
            <w:vAlign w:val="center"/>
            <w:shd w:fill="F6F7F8"/>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SMS</w:t>
            </w:r>
          </w:p>
        </w:tc>
        <w:tc>
          <w:tcPr>
            <w:tcW w:type="dxa" w:w="3456"/>
            <w:vAlign w:val="center"/>
            <w:shd w:fill="F6F7F8"/>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5 to 15 reserve</w:t>
            </w:r>
          </w:p>
        </w:tc>
        <w:tc>
          <w:tcPr>
            <w:tcW w:type="dxa" w:w="4104"/>
            <w:vAlign w:val="center"/>
            <w:shd w:fill="F6F7F8"/>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Messages, carrier fees and registration, not a quote</w:t>
            </w:r>
          </w:p>
        </w:tc>
      </w:tr>
    </w:tbl>
    <w:p/>
    <w:p>
      <w:pPr>
        <w:widowControl/>
      </w:pPr>
      <w:r>
        <w:t>A practical operating reserve is roughly USD 60 to 135 per month before insurance, marketplace deductions and optional paid AI. At those bounds, year-one expanded-kit ownership is approximately USD 4,225 to 5,125 before purchase contingency, or USD 4,926 to 5,826 including it. These figures exclude labor and job-specific consumables. An existing mobile plan, email account and external backup can reduce incremental cost. Forwarded calls have two billed legs; charging only the inbound leg would understate the telephone cost.</w:t>
      </w:r>
    </w:p>
    <w:p>
      <w:pPr>
        <w:widowControl/>
      </w:pPr>
      <w:r>
        <w:t>Do not invent an insurance premium. Get General Liability and Errors and Omissions quotations for the actual entity, work mix, territory, limits and exclusions. Carry deductibles and annual premiums separately from software cost. Marketplace fees and materials float belong in each job's economics.</w:t>
      </w:r>
    </w:p>
    <w:p>
      <w:pPr>
        <w:pStyle w:val="Heading1"/>
      </w:pPr>
      <w:r>
        <w:t>9 Ground up installation and commissioning</w:t>
      </w:r>
    </w:p>
    <w:p>
      <w:pPr>
        <w:widowControl/>
      </w:pPr>
      <w:r>
        <w:t>Start with a bare or reset machine whose ownership and licensing are established. Photograph the serial and inventory ports, memory, disk, charger and battery. Run the vendor diagnostics and inspect storage health. Update BIOS and drivers from Panasonic's serial-appropriate support source. Install the supported Windows 11 Pro release, complete Windows Update, restart and check Device Manager for unresolved devices.</w:t>
      </w:r>
    </w:p>
    <w:p>
      <w:pPr>
        <w:widowControl/>
      </w:pPr>
      <w:r>
        <w:t>Create a dedicated local working folder for the kit and a separate data folder. Use a standard operator account for jobs. Enable drive encryption and retain its recovery key offline before storing customer information. Verify recovery-key availability from another device; do not keep the only recovery copy on the encrypted laptop. Enable firewall profiles, automatic screen lock and a short inactivity timeout. Disable unwanted auto-connect Wi-Fi profiles and file sharing on customer-facing adapters.</w:t>
      </w:r>
    </w:p>
    <w:p>
      <w:pPr>
        <w:widowControl/>
      </w:pPr>
      <w:r>
        <w:t>Copy the delivered implementation-kit folder to the computer. Review install-windows.ps1, run it from a normal PowerShell session and let any official installer request elevation as needed. Do not disable execution controls globally; if policy blocks the script, run the approved installer commands individually or obtain the administrator's deployment method. The script uses exact winget IDs and stops on an unexpected installer return code. Package manifests and IDs can change, so a failed line requires diagnosis rather than claiming success.</w:t>
      </w:r>
    </w:p>
    <w:p>
      <w:pPr>
        <w:widowControl/>
      </w:pPr>
      <w:r>
        <w:t>Open a fresh terminal after Python installation. Run the README training commands against FieldOfficeDemo. Run the test suite. Start desktop.py to open the local operation form. Production data defaults to the operator's FieldOfficeData directory; set FIELD_OFFICE_HOME explicitly to an encrypted non-synced location before the first real job. Do not place the live SQLite database in OneDrive, Dropbox or a network share. Back up snapshots, not a concurrently written database file.</w:t>
      </w:r>
    </w:p>
    <w:p>
      <w:pPr>
        <w:widowControl/>
      </w:pPr>
      <w:r>
        <w:t>Install Npcap from its publisher after reviewing its terms; restrict capture privileges where appropriate. Test Wireshark capture on a training interface. Install Panasonic modem support and activate the verified data plan. Test LTE after a cold boot and after sleep. Test Ethernet and serial adapters, the printer and USB hub. Keep an offline copy of installers, checksums, licenses, model files, approved manuals and recovery instructions on the encrypted backup drive.</w:t>
      </w:r>
    </w:p>
    <w:p>
      <w:pPr>
        <w:widowControl/>
      </w:pPr>
      <w:r>
        <w:t>For optional PDF page handling, create a dedicated Python virtual environment and install pypdf==6.10.0. For local assistance, install Ollama from its official Windows source, download the selected model and verify a simple response while disconnected from the Internet. The local adapter needs no API key. Allow several minutes for a CPU response; if latency is unsuitable, use manual references until a smaller properly licensed model or better compute passes the evaluation.</w:t>
      </w:r>
    </w:p>
    <w:p>
      <w:pPr>
        <w:widowControl/>
      </w:pPr>
      <w:r>
        <w:t>Do not enable a web listener, database remote access or automatic inbound firewall exception for the local core. The desktop form starts local commands. The telephone service is separate and remains available when the laptop is asleep or offline.</w:t>
      </w:r>
    </w:p>
    <w:p>
      <w:pPr>
        <w:pStyle w:val="Heading1"/>
      </w:pPr>
      <w:r>
        <w:t>10 Network isolation and technical tool configuration</w:t>
      </w:r>
    </w:p>
    <w:p>
      <w:pPr>
        <w:widowControl/>
      </w:pPr>
      <w:r>
        <w:t>Treat Business and Workshop as different trust contexts. Business activity uses cellular or a trusted uplink. Customer Ethernet is for the authorized diagnostic session. Do not bridge customer Ethernet to cellular, enable Internet Connection Sharing, or give a test switch an uncontrolled uplink. Inspect the routing table when both interfaces are present; a default route and DNS change can send business traffic through the customer network even without bridging.</w:t>
      </w:r>
    </w:p>
    <w:p>
      <w:pPr>
        <w:widowControl/>
      </w:pPr>
      <w:r>
        <w:t>For the first prototype, the simplest boundary is disconnecting customer Ethernet before business uploads and using offline job data while testing. Where simultaneous connections are necessary, document routes, interface metrics, DNS behavior and the destination of business traffic. A future hardened release should use a dedicated diagnostic VM or separate endpoint with constrained adapters. A VM is not automatic USB electrical isolation or permission to scan.</w:t>
      </w:r>
    </w:p>
    <w:p>
      <w:pPr>
        <w:widowControl/>
      </w:pPr>
      <w:r>
        <w:t>collect-network.ps1 records host adapters, addressing, routes, DNS and the currently connected wireless interface. Without AuthorizedTarget it performs no explicit network probe. With a named target it sends four diagnostic pings. Store the resulting folder as internal evidence until reviewed. It may contain sensitive addresses and interface details. It does not enumerate subnets or make configuration changes.</w:t>
      </w:r>
    </w:p>
    <w:p>
      <w:pPr>
        <w:widowControl/>
      </w:pPr>
      <w:r>
        <w:t>For packet capture, identify the physical interface with dumpcap -D, capture only the agreed interface, cap duration and storage, and retain the authorization. A representative authorized command is dumpcap -i 1 -a duration:60 -a filesize:10240 -w capture.pcapng. Replace interface 1 with the verified interface index. A switched network does not expose all traffic to an ordinary port; SPAN or a suitable tap requires a separate approved arrangement. No packet capture, PoE load test, traffic generation or intrusive discovery is run by the supplied local core.</w:t>
      </w:r>
    </w:p>
    <w:p>
      <w:pPr>
        <w:widowControl/>
      </w:pPr>
      <w:r>
        <w:t>Console setup uses the device's documented speed, parity and flow-control settings; 9600 8N1 is common but not universal. Save a session log and configuration backup before approved changes. Redact secrets from customer-facing exports. Do not store passwords in command history, PuTTY session names or the shared knowledge base.</w:t>
      </w:r>
    </w:p>
    <w:p>
      <w:pPr>
        <w:pStyle w:val="Heading1"/>
      </w:pPr>
      <w:r>
        <w:t>11 Local data model and transactional behavior</w:t>
      </w:r>
    </w:p>
    <w:p>
      <w:pPr>
        <w:widowControl/>
      </w:pPr>
      <w:r>
        <w:t>The included SQLite schema is intentionally small and readable. Jobs store identity, scope, current tracks and scope version. Records store append-only typed observations with source and creation time. Evidence stores a job association, original filename, SHA256 and metadata; actual bytes live in a content-addressed directory. Reservations hold protected UTC intervals and soft or hard state. Actions hold exact terms, payload hash, job version, expiry, state and manual outcome. Stock holds quantity and weighted unit cost by SKU and location. Documents hold immutable prepared snapshots. Audit stores a hash-linked event stream.</w:t>
      </w:r>
    </w:p>
    <w:p>
      <w:pPr>
        <w:widowControl/>
      </w:pPr>
      <w:r>
        <w:t>This implements single-operator persistence. It is not a multi-tenant server schema. Core JSON records are flexible and do not yet validate every business field. Record identifiers are authoritative links; free-text labels are not unique identity. Scope revisions preserve the prior content in the audit event and invalidate prepared or approved actions. Already confirmed actions remain historical commitments.</w:t>
      </w:r>
    </w:p>
    <w:p>
      <w:pPr>
        <w:widowControl/>
      </w:pPr>
      <w:r>
        <w:t>Commercial schema expansion requires typed Technician, Credential, Client, Site, Buyer, PlatformAccount, WorkOrderRevision, Requirement, Observation, Reservation, TravelLeg, InventoryMovement, StockReservation, EstimateVersion, PurchaseOrder, Invoice, CreditNote, PaymentAllocation, Policy, Instrument, Measurement, Communication, Approval, OutboxAction and SyncCursor entities. Assign UUIDs; enforce foreign keys; use UTC instants plus IANA zone for display and original source times; store money as integer minor units and currency. Fractional quantities need fixed decimals with explicit units. Do not overload one status field to mean both complete and paid.</w:t>
      </w:r>
    </w:p>
    <w:p>
      <w:pPr>
        <w:widowControl/>
      </w:pPr>
      <w:r>
        <w:t>Corrections append compensating records and reference the superseded record. Requirement satisfaction and reopening events are applied in ledger order. A reopening blocks completion until a later reviewed satisfaction event resolves the same requirement. Cross-device event ordering remains commercial development work. Deletion and retention are not implemented as silent record removal; add a controlled disposal process with evidence of authorization.</w:t>
      </w:r>
    </w:p>
    <w:p>
      <w:pPr>
        <w:widowControl/>
      </w:pPr>
      <w:r>
        <w:t>SQLite BEGIN IMMEDIATE serializes reservation and stock writes. That prevents two local writers from both consuming the same stock or accepting the same interval through the provided methods. The application does not defend against an administrator editing its database. Hashes detect accidental damage, not an attacker able to rewrite the entire ledger. Anchor backup manifests in an independent retained system before claiming stronger tamper evidence.</w:t>
      </w:r>
    </w:p>
    <w:p>
      <w:pPr>
        <w:pStyle w:val="Heading1"/>
      </w:pPr>
      <w:r>
        <w:t>12 Scheduling algorithm and portfolio protection</w:t>
      </w:r>
    </w:p>
    <w:p>
      <w:pPr>
        <w:widowControl/>
      </w:pPr>
      <w:r>
        <w:t>For a fixed arrival time A, reserve the half-open interval from A minus inbound travel to A plus pessimistic work plus closeout plus protected recovery. Start with 240 minutes pessimistic work, 60 minutes inbound travel, 30 minutes closeout and 90 minutes recovery. Those are deliberately conservative defaults for a sample job, not universal job estimates. The CLI accepts actual values. An overlap occurs when candidate start is before existing end and candidate end is after existing start. Touching boundaries do not overlap.</w:t>
      </w:r>
    </w:p>
    <w:p>
      <w:pPr>
        <w:widowControl/>
      </w:pPr>
      <w:r>
        <w:t>Attach travel to the destination job once. If a job requires a return or warehouse trip, represent it as a separate block or explicitly include it in that job's duration; do not count both an outgoing travel allowance and the next job's inbound allowance for the same leg. If the next destination differs from the previous routing assumption, recompute it before commitment. The core accepts manual travel estimates and cannot verify their realism. Unknown location or route is a human readiness blocker.</w:t>
      </w:r>
    </w:p>
    <w:p>
      <w:pPr>
        <w:widowControl/>
      </w:pPr>
      <w:r>
        <w:t>Soft holds remain blocking after their review timestamp until explicitly released. Expiry is a reminder to resolve commitment risk, not permission to resell the time. Requesting an assignment and accepting an award remain different actions. Before using a platform button that can bind work, review the entire portfolio and create the corresponding hold. Convert it to hard only after the actual award or client acceptance is retained.</w:t>
      </w:r>
    </w:p>
    <w:p>
      <w:pPr>
        <w:widowControl/>
      </w:pPr>
      <w:r>
        <w:t>The first implementation rejects overlaps; it does not optimize routes, choose flexible arrival windows or calculate accumulated statistical delay. Commercial scheduling should calculate latest feasible arrival from neighboring protected intervals, verify route freshness, hold a server-side transaction lock and return reasons rather than just a green icon. An offline copy can propose a hold but must not finalize a conflicting central reservation later without reconciliation.</w:t>
      </w:r>
    </w:p>
    <w:p>
      <w:pPr>
        <w:widowControl/>
      </w:pPr>
      <w:r>
        <w:t>An overrun should update pessimistic completion, recompute downstream conflicts and prepare a communication. It must not silently move an appointment. The included CLI requires the operator to revise reservations and inspect the result. Automatic overrun monitoring and alerts are release work. Acceptance tests must include daylight-saving transitions, overnight work, separate time zones, personal blocks, unresolved soft holds and simultaneous booking attempts.</w:t>
      </w:r>
    </w:p>
    <w:p>
      <w:pPr>
        <w:pStyle w:val="Heading1"/>
      </w:pPr>
      <w:r>
        <w:t>13 Authority and reliable external actions</w:t>
      </w:r>
    </w:p>
    <w:p>
      <w:pPr>
        <w:widowControl/>
      </w:pPr>
      <w:r>
        <w:t>A prepared action includes action type, recipient, channel, exact terms, commercial exposure, schedule effect and applicable job version. The core hashes the canonical JSON and requires that hash during approval. A changed scope invalidates pending approvals. The owner can record confirmed, failed, uncertain or revoked outcomes only after approval; repeat confirmation is rejected. The local outcome records a human report, not independent proof that a provider performed an action.</w:t>
      </w:r>
    </w:p>
    <w:p>
      <w:pPr>
        <w:widowControl/>
      </w:pPr>
      <w:r>
        <w:t>The prototype does not execute email, purchases, platform requests or invoices. Review the prepared payload, perform the action in the official application, retain the provider receipt and record the outcome. If the provider timed out after clicking submit, mark uncertain, inspect the provider's record, and avoid a blind second submission. An approval that expires before the human performs the action should be replaced. The current local outcome recorder deliberately permits documenting a late-arriving result, so execution-time expiry enforcement must live in a future actual executor.</w:t>
      </w:r>
    </w:p>
    <w:p>
      <w:pPr>
        <w:widowControl/>
      </w:pPr>
      <w:r>
        <w:t>A commercial executor needs an outbox in the same transaction as approval and reservation. States are prepared, approved, executing, confirmed, uncertain, failed and cancelled. Bind an idempotency key to action ID and payload digest. Recheck current version, approval expiry, recipient, account, daily exposure and schedule immediately before the external request. Use provider idempotency when offered. On network ambiguity, query the provider by operation identity; never equate lack of a response with lack of side effect.</w:t>
      </w:r>
    </w:p>
    <w:p>
      <w:pPr>
        <w:widowControl/>
      </w:pPr>
      <w:r>
        <w:t>Standing authority is off for the first round. Later policy may allow named clients, known service types, a defined service area, maximum job amount, maximum daily exposure, minimum effective rate and expiry. Changes in contract terms, scope, destination, liability or price reopen approval. A language model proposes structured actions but cannot widen its own limits, write approval rows or run shell commands.</w:t>
      </w:r>
    </w:p>
    <w:p>
      <w:pPr>
        <w:pStyle w:val="Heading1"/>
      </w:pPr>
      <w:r>
        <w:t>14 Economics and business records</w:t>
      </w:r>
    </w:p>
    <w:p>
      <w:pPr>
        <w:widowControl/>
      </w:pPr>
      <w:r>
        <w:t>Use separate projected and actual calculations. Projected contribution equals service revenue plus reimbursable revenue minus materials at landed cost, platform fees, subcontractors, travel operating cost, lodging, parking, tolls and other direct expense. Effective projected rate divides that contribution by total owner time, including travel, procurement, field work, waiting and administration. It is not after-tax profit. Keep owner labor and overhead visible separately when evaluating business viability.</w:t>
      </w:r>
    </w:p>
    <w:p>
      <w:pPr>
        <w:widowControl/>
      </w:pPr>
      <w:r>
        <w:t>Illustrative job: USD 525 revenue, USD 52.50 platform fee, USD 35 materials, USD 24 travel and USD 8 parking gives USD 405.50 contribution. At 5.5 total hours, contribution per hour is USD 73.73. A material sale price of USD 50 against USD 35 cost produces USD 15 gross profit, a 30 percent gross margin and a 42.86 percent markup. Margin and markup are different denominators. The example fee is an assumption, not an assertion of any platform's actual terms.</w:t>
      </w:r>
    </w:p>
    <w:p>
      <w:pPr>
        <w:widowControl/>
      </w:pPr>
      <w:r>
        <w:t>The included ledger records whole stock units with weighted-average purchase cost and creates a job cost transaction on consumption. It prevents negative stock. Do not use it unchanged for fractional feet or meters; model stock in the smallest practical integer unit or implement fixed-decimal quantities before use. Inventory receipts, transfers, returns, scrap, stock reservations and customer-owned material ownership need explicit commercial data structures. The current receive command is a stock receipt, not a vendor purchase order execution.</w:t>
      </w:r>
    </w:p>
    <w:p>
      <w:pPr>
        <w:widowControl/>
      </w:pPr>
      <w:r>
        <w:t>Prepared invoices are immutable snapshots and have a total in cents. Tax is an explicit dollar amount entered after review, because jurisdiction and taxable scope are not inferred. The ledger distinguishes payments from prepared totals; it is not an accounting system with accounts receivable, tax filing, credit allocation or bank reconciliation. Use existing bookkeeping software for issued invoices and reconciled books until those modules pass dedicated tests. Record its document and transaction IDs in the Dossier. Never claim a payment from a sent invoice.</w:t>
      </w:r>
    </w:p>
    <w:p>
      <w:pPr>
        <w:widowControl/>
      </w:pPr>
      <w:r>
        <w:t>Commercial invoice issuance must create a unique sequential business number, freeze the version, record issue time and recipient, and separate voids or credit notes from revisions. Calculate tax by reviewed configuration, preserve deposits and retainage, and allocate partial payments to invoices. Estimate acceptance, material purchase authority and invoice collection remain separate events.</w:t>
      </w:r>
    </w:p>
    <w:p>
      <w:pPr>
        <w:pStyle w:val="Heading1"/>
      </w:pPr>
      <w:r>
        <w:t>15 Document Desk and evidence workflow</w:t>
      </w:r>
    </w:p>
    <w:p>
      <w:pPr>
        <w:widowControl/>
      </w:pPr>
      <w:r>
        <w:t>Use original buyer forms as immutable source files. Fill supported fields in a reviewed PDF or office application. For scanned forms, use OCR to propose values, verify them manually and retain the original image. No signature image is inserted as proof of authority. Prepare the signature page for the identified signer and retain its version association.</w:t>
      </w:r>
    </w:p>
    <w:p>
      <w:pPr>
        <w:widowControl/>
      </w:pPr>
      <w:r>
        <w:t>pdf-pages.py extracts one page with a one-based page number, or replaces that page using a one-page signed PDF. It refuses to overwrite an existing destination. Example: python pdf-pages.py extract buyer-filled.pdf 4 signature-page.pdf. After lawful signing and scanning: python pdf-pages.py replace buyer-filled.pdf 4 buyer-signed-v1.pdf --signed-page signed-page.pdf. Review the full assembled document. Replacing pages invalidates cryptographic signatures on an already digitally signed PDF; use this workflow for unsigned source forms and scanned wet signatures, not signed-PDF alteration.</w:t>
      </w:r>
    </w:p>
    <w:p>
      <w:pPr>
        <w:widowControl/>
      </w:pPr>
      <w:r>
        <w:t>The local document generator creates estimates, purchase orders, invoices, change orders and work orders as printable HTML. It requires business identity, recipient, terms, lines and explicit tax amount. It HTML-escapes input and saves a snapshot plus hash. The output says prepared, not issued or sent. Open it in a browser, review and print or save as PDF. Job details, signed originals and issued records must be retained separately with the delivery receipt.</w:t>
      </w:r>
    </w:p>
    <w:p>
      <w:pPr>
        <w:widowControl/>
      </w:pPr>
      <w:r>
        <w:t>Portable printing can begin with a used compact inkjet and verified compatible power. The USD 180 line is a sourcing allowance, not a named guaranteed model. USB printing avoids a network dependency; it does not guarantee that an unfamiliar customer printer has a usable driver. For customer equipment, obtain authorization, preview page range, confirm the queue and collect output. A print shop remains a viable first-round path. A thermal full-page printer requires suitable paper and retention expectations; thermal paper is not ideal as the only long-term signed record.</w:t>
      </w:r>
    </w:p>
    <w:p>
      <w:pPr>
        <w:widowControl/>
      </w:pPr>
      <w:r>
        <w:t>Label with verified cable, jack, panel, device and port identifiers. The budget standalone labeler is intentionally usable without driver integration. Print labels from a reviewed manifest manually. Barcode and label-printer automation require exact template, ribbon or tape and driver validation before sale.</w:t>
      </w:r>
    </w:p>
    <w:p>
      <w:pPr>
        <w:widowControl/>
      </w:pPr>
      <w:r>
        <w:t>For fax, use the selected provider's portal first. FAXAGE lists web, email and API fax as service features [S12]. Retain the number, exact PDF hash, page count, job, provider transaction ID and final transmission result. Submission is not delivery or acceptance. The kit does not claim a completed fax connector. API development starts only after account credentials, permitted use and status semantics are verified.</w:t>
      </w:r>
    </w:p>
    <w:p>
      <w:pPr>
        <w:widowControl/>
      </w:pPr>
      <w:r>
        <w:t>Evidence imports preserve original bytes under a content hash and record target, purpose, visibility and import time. Import time is not automatically capture time. Enter actual capture time and instrument setup in a sourced measurement record. Record failed tests and corrective retests separately. Customer exports include only evidence marked customer, but scope and requirements still need manual privacy review. The manifest includes hashes and an incomplete flag when requirements remain open. Internal cost records are excluded from the customer report.</w:t>
      </w:r>
    </w:p>
    <w:p>
      <w:pPr>
        <w:pStyle w:val="Heading1"/>
      </w:pPr>
      <w:r>
        <w:t>16 Field procedures that make the kit useful</w:t>
      </w:r>
    </w:p>
    <w:p>
      <w:pPr>
        <w:widowControl/>
      </w:pPr>
      <w:r>
        <w:t>Before departure: verify current work order, contact authority, appointment and access; check all marketplace and private commitments; pack the required diagnostic or rental instrument; test adapters and printer; download forms; confirm insurance and qualification records cover the job date; charge devices; and verify a recoverable backup. The local form does not automatically prove this readiness, so add each obligation as a requirement.</w:t>
      </w:r>
    </w:p>
    <w:p>
      <w:pPr>
        <w:widowControl/>
      </w:pPr>
      <w:r>
        <w:t>On arrival: identify site and work order; complete the actual platform check-in; record initial condition; identify the target asset; verify permission for tests and disruption. Open the right Dossier before taking evidence. An unknown port or unexpected circuit is a stop condition until identified.</w:t>
      </w:r>
    </w:p>
    <w:p>
      <w:pPr>
        <w:widowControl/>
      </w:pPr>
      <w:r>
        <w:t>For an AP replacement: photograph the old serial and mounting condition; retain controller and switch-port context; confirm replacement compatibility and PoE needs; apply the approved configuration; record new serial and port association; validate link, controller adoption, intended SSID and agreed client behavior; capture evidence; record returned equipment. Do not declare RF acceptance from a successful ping alone.</w:t>
      </w:r>
    </w:p>
    <w:p>
      <w:pPr>
        <w:widowControl/>
      </w:pPr>
      <w:r>
        <w:t>For a cable fault: record endpoint labels, symptoms, negotiated speed and test setup; try a known-good patch lead if authorized; perform an appropriate disconnected diagnostic test; repair the identified fault; retest; and rent certification if the work order demands it. Preserve the original failed measurement. A passing wiremap does not prove application performance.</w:t>
      </w:r>
    </w:p>
    <w:p>
      <w:pPr>
        <w:widowControl/>
      </w:pPr>
      <w:r>
        <w:t>For a fiber service: identify fiber type, wavelengths, connector type and the actual acceptance method; inspect and clean with proper tools; reference the source and meter correctly; measure and preserve results; compare against the agreed loss budget; and re-test after remediation. If the core kit lacks the source, inspection probe or accepted report format, mark the test unavailable and arrange the required instrument.</w:t>
      </w:r>
    </w:p>
    <w:p>
      <w:pPr>
        <w:widowControl/>
      </w:pPr>
      <w:r>
        <w:t>Before leaving: reconcile requirements, buyer or NOC validation, signatures, device restoration, cleanup, spares and returns. Record incomplete work honestly. Field completion, submission, acceptance, returns and payment use separate tracks. At day end, reconcile time, materials, costs and records; prepare closeout; verify external results; and back up.</w:t>
      </w:r>
    </w:p>
    <w:p>
      <w:pPr>
        <w:pStyle w:val="Heading1"/>
      </w:pPr>
      <w:r>
        <w:t>17 Marketplace integration and private clients</w:t>
      </w:r>
    </w:p>
    <w:p>
      <w:pPr>
        <w:widowControl/>
      </w:pPr>
      <w:r>
        <w:t>Field Nation publishes an API and developer documentation [S13]. That establishes an integration surface, not permission for Glen's technician account to list or accept opportunities, negotiate, upload deliverables or manage payments. WorkMarket advertises integrations [S14], but client-side integration material does not establish a worker-side automation entitlement. Do not build a business promise on an undocumented browser endpoint.</w:t>
      </w:r>
    </w:p>
    <w:p>
      <w:pPr>
        <w:widowControl/>
      </w:pPr>
      <w:r>
        <w:t>The available first-round path is official portal operation. Save or export the work order, create the local Dossier, enter the protected reservation, review requirements, prepare a truthful request message using verified qualifications, perform the authorized portal action, and retain the confirmation. Check the portal for changes before departure and submission. This is a real assisted workflow with manual entry cost; it is not seamless synchronization.</w:t>
      </w:r>
    </w:p>
    <w:p>
      <w:pPr>
        <w:widowControl/>
      </w:pPr>
      <w:r>
        <w:t>For each future adapter, obtain account-level permission and a sandbox; record authentication method, scopes, limits, paging, event ordering, webhook signature verification, attachment limits and idempotency behavior. Map external identifiers without treating display titles as stable keys. Reconcile webhooks with periodic reads. Test award changes, cancellation, duplicate events, partial uploads, expired credentials, throttling, ambiguous responses and retries. The adapter must expose capability status as available, permission denied, unsupported or disconnected.</w:t>
      </w:r>
    </w:p>
    <w:p>
      <w:pPr>
        <w:widowControl/>
      </w:pPr>
      <w:r>
        <w:t>Private clients use a verified client and site record, scope, estimate, appointment, accepted terms and actual authorized approver. A site escort may not approve extra charges. Draft changes compare old and new scope, price, material and schedule effects. Work outside the accepted scope remains blocked until the appropriate approval is retained. Signed approval is evidence, not a model's inference from a phone conversation.</w:t>
      </w:r>
    </w:p>
    <w:p>
      <w:pPr>
        <w:pStyle w:val="Heading1"/>
      </w:pPr>
      <w:r>
        <w:t>18 Telephone and receptionist implementation</w:t>
      </w:r>
    </w:p>
    <w:p>
      <w:pPr>
        <w:widowControl/>
      </w:pPr>
      <w:r>
        <w:t>Separate telephone availability from the laptop. Use a hosted business number and routing functions, forwarding to Glen's existing mobile telephone. LTE in the Toughbook supplies data; a data modem and SIM do not automatically provide carrier voice service to Windows. A later SIP or browser voice endpoint can make the laptop ring through the headset, but the included proof of concept forwards to the telephone. It does not pretend the laptop has native cellular voice.</w:t>
      </w:r>
    </w:p>
    <w:p>
      <w:pPr>
        <w:widowControl/>
      </w:pPr>
      <w:r>
        <w:t>The supplied Twilio Functions implement a limited speech or keypad receptionist using documented Gather and Dial behavior [S15]. A caller saying Glen, human, operator, connect or transfer, or pressing zero, is transferred without a qualification questionnaire when DND is off. Glen presses one to accept; this prevents ordinary mobile voicemail from swallowing the business call. If unanswered, the service offers a recorded message. The call is not automatically recorded while connected to Glen.</w:t>
      </w:r>
    </w:p>
    <w:p>
      <w:pPr>
        <w:widowControl/>
      </w:pPr>
      <w:r>
        <w:t>The message flow announces recording and accepts a maximum two-minute voicemail. Appointment requests are explicitly pending review. Recording IDs and media live in the provider account; no local synchronization, transcription, SMS dispatch or autonomous appointment confirmation is claimed. The operator checks recordings, enters the corresponding job note or callback task and retains provenance. Caller ID is not verified client identity.</w:t>
      </w:r>
    </w:p>
    <w:p>
      <w:pPr>
        <w:widowControl/>
      </w:pPr>
      <w:r>
        <w:t>Deploy by creating a Twilio Functions service with four Protected endpoints: /reception, /screen, /after-dial and /message. Copy the corresponding files. Set GLEN_NUMBER in E.164 format, BUSINESS_NAME and DND. The runtime supplies DOMAIN_NAME and Twilio. Point the business number's inbound voice webhook to /reception using POST. Configure provider fallback behavior to a separately tested direct-forward or existing voicemail path. Do not publish account tokens in code or the local Dossier. Review recording retention and location-specific consent requirements before live use; this plan does not supply a legal determination.</w:t>
      </w:r>
    </w:p>
    <w:p>
      <w:pPr>
        <w:widowControl/>
      </w:pPr>
      <w:r>
        <w:t>Live acceptance must cover exact Glen requests, background noise, accents, keypad zero, DND, no input, blocked caller ID, mobile busy, decline, no answer, carrier voicemail, function error and network outage. The phrase matching is deliberately simple and cannot understand all natural language. It is a functional routing prototype, not the full conversational AI secretary. Avoid presenting its narrow behavior as general understanding.</w:t>
      </w:r>
    </w:p>
    <w:p>
      <w:pPr>
        <w:widowControl/>
      </w:pPr>
      <w:r>
        <w:t>A commercial natural-language secretary needs streaming speech, barge-in, bounded dialogue, transfer as a priority interrupt, a durable callback queue and secure lookup of permitted client context. Transfer must bypass any AI reasoning when the caller explicitly requests Glen. Busy, working, driving and DND modes must have simple owner controls. Priority bypass requires authenticated policy, not a spoofable incoming number alone. Call content creates an unverified observation until Glen validates changes in scope or money.</w:t>
      </w:r>
    </w:p>
    <w:p>
      <w:pPr>
        <w:pStyle w:val="Heading1"/>
      </w:pPr>
      <w:r>
        <w:t>19 Customer scheduling and communication automation</w:t>
      </w:r>
    </w:p>
    <w:p>
      <w:pPr>
        <w:widowControl/>
      </w:pPr>
      <w:r>
        <w:t>An always-on customer scheduler needs a central reservation authority because the laptop sleeps and can be offline. Do not point a public booking link at a local SQLite database. Publish only curated available windows, not private job details or raw calendar events. Authenticate known clients, classify permitted service types, enforce travel and duration rules, and return a tentative hold for uncertain work.</w:t>
      </w:r>
    </w:p>
    <w:p>
      <w:pPr>
        <w:widowControl/>
      </w:pPr>
      <w:r>
        <w:t>The booking transaction must atomically check the protected envelope, create a reservation and Dossier, and queue a confirmation. Send email and SMS from the committed outbox record with unique operation IDs. Confirm only after the booking record is committed. If notification fails, the booking remains committed with a visible failed-notification obligation; do not make the appointment disappear. Rescheduling requires a new validated slot and explicit release of the old slot in the same controlled workflow.</w:t>
      </w:r>
    </w:p>
    <w:p>
      <w:pPr>
        <w:widowControl/>
      </w:pPr>
      <w:r>
        <w:t>SMS requires an appropriate provider registration and consent model for the destination and message type. Budget includes a reserve, not guaranteed carrier acceptance. Unsubscribe and wrong-number handling need implementation. Email needs verified domain configuration and bounce handling. No email or SMS has been sent by this kit. For first round, Glen performs the confirmed booking and communications through his existing applications and records the exact outcome.</w:t>
      </w:r>
    </w:p>
    <w:p>
      <w:pPr>
        <w:pStyle w:val="Heading1"/>
      </w:pPr>
      <w:r>
        <w:t>20 Local intelligence and the knowledge base</w:t>
      </w:r>
    </w:p>
    <w:p>
      <w:pPr>
        <w:widowControl/>
      </w:pPr>
      <w:r>
        <w:t>The advisor receives only the selected job, its records, open requirements and explicitly supplied text references. It cannot search arbitrary folders, call external tools, approve actions or execute commands. local-assist.py caps context length, uses a fixed local Ollama endpoint, fails visibly when the runtime is unavailable and writes an unverified draft to a new file. It does not silently invent a result when the model is missing.</w:t>
      </w:r>
    </w:p>
    <w:p>
      <w:pPr>
        <w:widowControl/>
      </w:pPr>
      <w:r>
        <w:t>Use it for briefing, questions to resolve before departure, draft closeout narrative, comparison of observations and procedures, and explanations of possible faults. Keep diagnostic hypotheses separate from measurements. All model-derived requirements need review against the work order. Retrieved documents, emails and instrument text are untrusted content and cannot instruct the assistant to reveal secrets or change approval policy.</w:t>
      </w:r>
    </w:p>
    <w:p>
      <w:pPr>
        <w:widowControl/>
      </w:pPr>
      <w:r>
        <w:t>Start the knowledge base with reviewed plaintext extracts of vendor procedures, owner checklists and known buyer instructions. Give each reference an owner, revision, applicable equipment, source and review date. Local full-text search is sufficient before introducing embeddings. If embeddings are later used, isolate customer collections and apply authorization before retrieval, not after generation. A larger context window is not a substitute for selecting the correct references.</w:t>
      </w:r>
    </w:p>
    <w:p>
      <w:pPr>
        <w:widowControl/>
      </w:pPr>
      <w:r>
        <w:t>The baseline model must be evaluated on representative jobs: wrong serial, contradictory scope, expired policy, missing instrument, impossible schedule, forged instructions in a document, ambiguous purchase outcome and insufficient evidence. Required behavior is to show uncertainty and ask for a specific next observation. Set a hard rule that model output cannot be the only evidence of certification, payment, delivery, customer acceptance or tool availability.</w:t>
      </w:r>
    </w:p>
    <w:p>
      <w:pPr>
        <w:widowControl/>
      </w:pPr>
      <w:r>
        <w:t>CPU performance on the chosen FZ-55 is unmeasured. Record time to first response, total completion time, memory, battery drain and thermal behavior at several context sizes. If it fails the desired workflow, retain manual tools and use a more appropriate model or optional remote inference with explicit data policy. Cloud assistance is not necessary for the supplied deterministic core.</w:t>
      </w:r>
    </w:p>
    <w:p>
      <w:pPr>
        <w:pStyle w:val="Heading1"/>
      </w:pPr>
      <w:r>
        <w:t>21 Security and offline operation</w:t>
      </w:r>
    </w:p>
    <w:p>
      <w:pPr>
        <w:widowControl/>
      </w:pPr>
      <w:r>
        <w:t>The prototype trusts the signed-in single operator and the operating system's encrypted drive. It has no application account system, MFA, tenant isolation, encrypted database or privileged secret store. Do not deploy it as a shared network service. Browser-rendered reports are static files with escaped input; sensitive reports still require protected storage and deliberate sharing.</w:t>
      </w:r>
    </w:p>
    <w:p>
      <w:pPr>
        <w:widowControl/>
      </w:pPr>
      <w:r>
        <w:t>Keep credentials in the operating system or provider's credential manager, never in generic job records. Use separate browser profiles for business platforms and customer administration. Minimize copied customer secrets. Control USB media and scan imported files. Avoid retaining packet payloads beyond the agreed purpose and retention period. Reference materials cannot authorize actions merely because their text says to ignore previous rules.</w:t>
      </w:r>
    </w:p>
    <w:p>
      <w:pPr>
        <w:widowControl/>
      </w:pPr>
      <w:r>
        <w:t>The local database works offline. External platform state, calendars, prices and policy records may be stale. Display or record when each was last checked. Offline work can capture evidence and drafts; it cannot establish that a queued upload was delivered or that a remote appointment is free. The first prototype deliberately has no replay queue for external actions. Reconnection is a human reconciliation step.</w:t>
      </w:r>
    </w:p>
    <w:p>
      <w:pPr>
        <w:widowControl/>
      </w:pPr>
      <w:r>
        <w:t>For a future multi-device system, use one server authority per business and append event IDs with version checks. Allow offline proposals and evidence uploads, but resolve conflicting edits explicitly. Never merge financial approvals or bookings with last-write-wins. Store files by digest, verify after transfer and retain encrypted backups. A phone can capture evidence first through its native camera and cable import; a secure mobile upload interface is additional development.</w:t>
      </w:r>
    </w:p>
    <w:p>
      <w:pPr>
        <w:pStyle w:val="Heading1"/>
      </w:pPr>
      <w:r>
        <w:t>22 Backup recovery and maintenance</w:t>
      </w:r>
    </w:p>
    <w:p>
      <w:pPr>
        <w:widowControl/>
      </w:pPr>
      <w:r>
        <w:t>At day end close other application instances, run verify, and create a backup outside the live data folder with the backup command. The code uses SQLite's backup API and copies the blob store, then opens the backup and verifies it. Because evidence copying is not coordinated with concurrent writers, stop other writers first. Keep at least one disconnected encrypted copy. Copying a folder on the same SSD is not disaster recovery.</w:t>
      </w:r>
    </w:p>
    <w:p>
      <w:pPr>
        <w:widowControl/>
      </w:pPr>
      <w:r>
        <w:t>Test restoration into a different directory, open several jobs, compare hashes, view evidence, generate a report and confirm the last audit head. Aim for a day-end recovery point and a one-hour restore target; these are operating goals to test, not measured service guarantees. Test losing the laptop, corrupted evidence, full disk and unavailable encryption recovery key. Keep software and database versions together.</w:t>
      </w:r>
    </w:p>
    <w:p>
      <w:pPr>
        <w:widowControl/>
      </w:pPr>
      <w:r>
        <w:t>For commercial release, add a schema version table, forward migrations with pre-migration backup, upgrade failure handling and supported rollback or restore. Freeze dependency versions and build hashes after validation. The installation script currently follows package-manager releases, so it is not a reproducible manufacturing image. A production image must include an installer manifest, SBOM, licenses and a known-good recovery image.</w:t>
      </w:r>
    </w:p>
    <w:p>
      <w:pPr>
        <w:pStyle w:val="Heading1"/>
      </w:pPr>
      <w:r>
        <w:t>23 Example operational walkthrough</w:t>
      </w:r>
    </w:p>
    <w:p>
      <w:pPr>
        <w:widowControl/>
      </w:pPr>
      <w:r>
        <w:t>Use only the supplied DEMO-001 example during training. Create its Dossier and requirement, create the conservative reservation, and generate an estimate. Record a training receipt and time. Receive three patch cables at a known cost and consume two against the demo job. Observe the cost transaction and remaining stock.</w:t>
      </w:r>
    </w:p>
    <w:p>
      <w:pPr>
        <w:widowControl/>
      </w:pPr>
      <w:r>
        <w:t>Import an actual training photo or test file as customer evidence, using the correct asset and purpose. Copy the returned evidence ID and requirement ID into satisfy. Attempt field completion before satisfying the requirement and confirm that it fails. After review and satisfaction, set the field track to complete. Delivery remains not submitted; payment remains separate.</w:t>
      </w:r>
    </w:p>
    <w:p>
      <w:pPr>
        <w:widowControl/>
      </w:pPr>
      <w:r>
        <w:t>Generate a customer ZIP and inspect the HTML and manifest. Internal attachments must be absent. Prepare a closeout action, inspect the exact JSON and hash, approve that hash, and perform no actual external submission in training. Record a simulated outcome with an explicitly labeled training receipt. A revised scope must invalidate a pending approval. A real job uses actual provider receipts and exact submitted document hashes.</w:t>
      </w:r>
    </w:p>
    <w:p>
      <w:pPr>
        <w:widowControl/>
      </w:pPr>
      <w:r>
        <w:t>Create the training invoice and record the example payment only inside the demo database. The prepared invoice should total USD 166.00, not silently become a receivable. Back up to a new directory and verify the restored copy. Delete or retain the isolated training folder according to preference; never mix DEMO records with real client accounting.</w:t>
      </w:r>
    </w:p>
    <w:p>
      <w:pPr>
        <w:pStyle w:val="Heading1"/>
      </w:pPr>
      <w:r>
        <w:t>24 Engineering work packages and cost of development</w:t>
      </w:r>
    </w:p>
    <w:p>
      <w:pPr>
        <w:widowControl/>
      </w:pPr>
      <w:r>
        <w:t>The purchase budget is not the cost of developing a commercial product. The included implementation accelerates the first local prototype, but release engineering, account integrations and field validation still require effort. A realistic initial planning range is 240 to 480 engineering hours for a focused single-technician commercial pilot. At USD 75 to 150 per hour, outside labor spans roughly USD 18,000 to 72,000. This is an effort model, not a vendor quote or delivery guarantee. Owner-built labor reduces cash expense but still consumes time.</w:t>
      </w:r>
    </w:p>
    <w:tbl>
      <w:tblPr>
        <w:tblW w:type="auto" w:w="0"/>
        <w:tblLayout w:type="fixed"/>
        <w:tblLook w:firstColumn="1" w:firstRow="1" w:lastColumn="0" w:lastRow="0" w:noHBand="0" w:noVBand="1" w:val="04A0"/>
      </w:tblPr>
      <w:tblGrid>
        <w:gridCol w:w="2376"/>
        <w:gridCol w:w="3456"/>
        <w:gridCol w:w="4104"/>
      </w:tblGrid>
      <w:tr>
        <w:trPr>
          <w:cantSplit/>
          <w:tblHeader/>
        </w:trPr>
        <w:tc>
          <w:tcPr>
            <w:tcW w:type="dxa" w:w="2376"/>
            <w:vAlign w:val="center"/>
            <w:shd w:fill="E6ECF1"/>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sz w:val="18"/>
              </w:rPr>
              <w:t>Work package</w:t>
            </w:r>
          </w:p>
        </w:tc>
        <w:tc>
          <w:tcPr>
            <w:tcW w:type="dxa" w:w="3456"/>
            <w:vAlign w:val="center"/>
            <w:shd w:fill="E6ECF1"/>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sz w:val="18"/>
              </w:rPr>
              <w:t>Planning effort</w:t>
            </w:r>
          </w:p>
        </w:tc>
        <w:tc>
          <w:tcPr>
            <w:tcW w:type="dxa" w:w="4104"/>
            <w:vAlign w:val="center"/>
            <w:shd w:fill="E6ECF1"/>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sz w:val="18"/>
              </w:rPr>
              <w:t>Completion evidence</w:t>
            </w:r>
          </w:p>
        </w:tc>
      </w:tr>
      <w:tr>
        <w:trPr>
          <w:cantSplit/>
        </w:trPr>
        <w:tc>
          <w:tcPr>
            <w:tcW w:type="dxa" w:w="237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Structured desktop UI and typed data migrations</w:t>
            </w:r>
          </w:p>
        </w:tc>
        <w:tc>
          <w:tcPr>
            <w:tcW w:type="dxa" w:w="345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40 to 80 hours</w:t>
            </w:r>
          </w:p>
        </w:tc>
        <w:tc>
          <w:tcPr>
            <w:tcW w:type="dxa" w:w="4104"/>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Job lifecycle performed without editing JSON</w:t>
            </w:r>
          </w:p>
        </w:tc>
      </w:tr>
      <w:tr>
        <w:trPr>
          <w:cantSplit/>
        </w:trPr>
        <w:tc>
          <w:tcPr>
            <w:tcW w:type="dxa" w:w="2376"/>
            <w:vAlign w:val="center"/>
            <w:shd w:fill="F6F7F8"/>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Financial issuance and inventory reconciliation</w:t>
            </w:r>
          </w:p>
        </w:tc>
        <w:tc>
          <w:tcPr>
            <w:tcW w:type="dxa" w:w="3456"/>
            <w:vAlign w:val="center"/>
            <w:shd w:fill="F6F7F8"/>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30 to 60 hours</w:t>
            </w:r>
          </w:p>
        </w:tc>
        <w:tc>
          <w:tcPr>
            <w:tcW w:type="dxa" w:w="4104"/>
            <w:vAlign w:val="center"/>
            <w:shd w:fill="F6F7F8"/>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Decimal, tax, credit and partial-payment tests</w:t>
            </w:r>
          </w:p>
        </w:tc>
      </w:tr>
      <w:tr>
        <w:trPr>
          <w:cantSplit/>
        </w:trPr>
        <w:tc>
          <w:tcPr>
            <w:tcW w:type="dxa" w:w="237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Scheduler and approval executor hardening</w:t>
            </w:r>
          </w:p>
        </w:tc>
        <w:tc>
          <w:tcPr>
            <w:tcW w:type="dxa" w:w="345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35 to 70 hours</w:t>
            </w:r>
          </w:p>
        </w:tc>
        <w:tc>
          <w:tcPr>
            <w:tcW w:type="dxa" w:w="4104"/>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Conflict, expiry, concurrency and retry tests</w:t>
            </w:r>
          </w:p>
        </w:tc>
      </w:tr>
      <w:tr>
        <w:trPr>
          <w:cantSplit/>
        </w:trPr>
        <w:tc>
          <w:tcPr>
            <w:tcW w:type="dxa" w:w="2376"/>
            <w:vAlign w:val="center"/>
            <w:shd w:fill="F6F7F8"/>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One permitted marketplace adapter</w:t>
            </w:r>
          </w:p>
        </w:tc>
        <w:tc>
          <w:tcPr>
            <w:tcW w:type="dxa" w:w="3456"/>
            <w:vAlign w:val="center"/>
            <w:shd w:fill="F6F7F8"/>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30 to 80 hours</w:t>
            </w:r>
          </w:p>
        </w:tc>
        <w:tc>
          <w:tcPr>
            <w:tcW w:type="dxa" w:w="4104"/>
            <w:vAlign w:val="center"/>
            <w:shd w:fill="F6F7F8"/>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Sandbox contract tests and account permission</w:t>
            </w:r>
          </w:p>
        </w:tc>
      </w:tr>
      <w:tr>
        <w:trPr>
          <w:cantSplit/>
        </w:trPr>
        <w:tc>
          <w:tcPr>
            <w:tcW w:type="dxa" w:w="237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Telephony and limited secretary</w:t>
            </w:r>
          </w:p>
        </w:tc>
        <w:tc>
          <w:tcPr>
            <w:tcW w:type="dxa" w:w="345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25 to 60 hours</w:t>
            </w:r>
          </w:p>
        </w:tc>
        <w:tc>
          <w:tcPr>
            <w:tcW w:type="dxa" w:w="4104"/>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Live transfer, voicemail and failure-path tests</w:t>
            </w:r>
          </w:p>
        </w:tc>
      </w:tr>
      <w:tr>
        <w:trPr>
          <w:cantSplit/>
        </w:trPr>
        <w:tc>
          <w:tcPr>
            <w:tcW w:type="dxa" w:w="2376"/>
            <w:vAlign w:val="center"/>
            <w:shd w:fill="F6F7F8"/>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Evidence, backup and security hardening</w:t>
            </w:r>
          </w:p>
        </w:tc>
        <w:tc>
          <w:tcPr>
            <w:tcW w:type="dxa" w:w="3456"/>
            <w:vAlign w:val="center"/>
            <w:shd w:fill="F6F7F8"/>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30 to 60 hours</w:t>
            </w:r>
          </w:p>
        </w:tc>
        <w:tc>
          <w:tcPr>
            <w:tcW w:type="dxa" w:w="4104"/>
            <w:vAlign w:val="center"/>
            <w:shd w:fill="F6F7F8"/>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Restore drill and access-control tests</w:t>
            </w:r>
          </w:p>
        </w:tc>
      </w:tr>
      <w:tr>
        <w:trPr>
          <w:cantSplit/>
        </w:trPr>
        <w:tc>
          <w:tcPr>
            <w:tcW w:type="dxa" w:w="237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Field pilot, packaging and corrections</w:t>
            </w:r>
          </w:p>
        </w:tc>
        <w:tc>
          <w:tcPr>
            <w:tcW w:type="dxa" w:w="345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50 to 70 hours</w:t>
            </w:r>
          </w:p>
        </w:tc>
        <w:tc>
          <w:tcPr>
            <w:tcW w:type="dxa" w:w="4104"/>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before="80" w:after="80"/>
            </w:pPr>
            <w:r>
              <w:rPr>
                <w:b w:val="0"/>
                <w:sz w:val="18"/>
              </w:rPr>
              <w:t>Pilot dossier set and signed release checklist</w:t>
            </w:r>
          </w:p>
        </w:tc>
      </w:tr>
    </w:tbl>
    <w:p/>
    <w:p>
      <w:pPr>
        <w:widowControl/>
      </w:pPr>
      <w:r>
        <w:t>These packages sum to 240 to 480 hours. They do not include full autonomous negotiation, every marketplace, custom hardware certification, a general natural-language booking agent or every instrument driver. Those require separate scope and estimates after access and hardware are available.</w:t>
      </w:r>
    </w:p>
    <w:p>
      <w:pPr>
        <w:widowControl/>
      </w:pPr>
      <w:r>
        <w:t>R&amp;D priorities are exact modem and carrier compatibility; local model latency and accuracy; instrument export formats and provenance; low-cost tool repeatability against a known reference; and carrier bag fit, weight and restraint. API permission, license purchase and signing credentials are procurement or integration dependencies, not research. The distinction prevents spending engineering time on a feature blocked by business access.</w:t>
      </w:r>
    </w:p>
    <w:p>
      <w:pPr>
        <w:widowControl/>
      </w:pPr>
      <w:r>
        <w:t>Sequence the build in gates. First prove the offline local lifecycle and backup on existing hardware. Then commission the rugged machine and diagnostic instruments. Then pilot real jobs with human-controlled external actions. Next add one approved platform adapter and hosted telephone routing. Add customer self-booking only after the central scheduler, identity and notification outbox pass tests. Add broad delegation last, based on actual failure data.</w:t>
      </w:r>
    </w:p>
    <w:p>
      <w:pPr>
        <w:pStyle w:val="Heading1"/>
      </w:pPr>
      <w:r>
        <w:t>25 Commercial release acceptance</w:t>
      </w:r>
    </w:p>
    <w:p>
      <w:pPr>
        <w:widowControl/>
      </w:pPr>
      <w:r>
        <w:t>Commercial readiness means measured behavior and supportability, not the presence of a large manual. Release remains blocked until each relevant gate below has evidence. Proposed numeric targets are engineering acceptance criteria to negotiate, not observed results.</w:t>
      </w:r>
    </w:p>
    <w:p>
      <w:pPr>
        <w:widowControl/>
      </w:pPr>
      <w:r>
        <w:t>Data gate: typed validation, migrations, tested recovery, durable file writes, missing-blob handling and transaction tests. Test interruption during evidence import, document generation, approval and database update. No function may return success before its durable outcome exists.</w:t>
      </w:r>
    </w:p>
    <w:p>
      <w:pPr>
        <w:widowControl/>
      </w:pPr>
      <w:r>
        <w:t>Authority gate: exact reviewed payload, execution-time revalidation, revocation, daily exposure, expired approvals, modified scope and provider ambiguity. Demonstrate that retrieved text and a model response cannot create authority. Confirm that duplicates do not create duplicate orders, requests, messages or invoices.</w:t>
      </w:r>
    </w:p>
    <w:p>
      <w:pPr>
        <w:widowControl/>
      </w:pPr>
      <w:r>
        <w:t>Scheduling gate: pessimistic envelopes, explicit travel, multi-platform commitments, personal blocks, daylight-saving folds and gaps, flexible windows, overrun and soft-hold review. Simultaneous reservation attempts must produce one winner or a visible conflict, not two confirmed bookings.</w:t>
      </w:r>
    </w:p>
    <w:p>
      <w:pPr>
        <w:widowControl/>
      </w:pPr>
      <w:r>
        <w:t>Evidence gate: every measurement identifies target, instrument, units, method, setup, time and source. No certification claim without an accepted instrument and test method. Verify failed-test retention, signed-document association, internal-data exclusion, exact submitted version and delivery receipt.</w:t>
      </w:r>
    </w:p>
    <w:p>
      <w:pPr>
        <w:widowControl/>
      </w:pPr>
      <w:r>
        <w:t>Platform gate: written account access, permission-specific capabilities, monitored authentication, rate limits, webhook verification, sandbox tests and manual recovery procedures. Unsupported actions remain visibly unavailable. The existence of a developer portal is not enough.</w:t>
      </w:r>
    </w:p>
    <w:p>
      <w:pPr>
        <w:widowControl/>
      </w:pPr>
      <w:r>
        <w:t>Telephone gate: reliable immediate transfer, controlled fallback, DND, noisy speech, human escape, unanswered calls, voicemail retention and access, billing limit alerts and outage behavior. A proposed target is transfer initiation within two seconds after a recognized Glen request; measure it across real calls. Full secretary claims require separate dialogue and booking tests.</w:t>
      </w:r>
    </w:p>
    <w:p>
      <w:pPr>
        <w:widowControl/>
      </w:pPr>
      <w:r>
        <w:t>Equipment gate: verify every serial-numbered laptop, battery, modem, adapter, printer and instrument under field conditions. Complete at least ten representative pilot jobs with zero lost Dossiers, zero fabricated results and no unexplained financial mismatch. Ten jobs are an initial gate, not proof of universal reliability. Track unresolved defects and operator workarounds.</w:t>
      </w:r>
    </w:p>
    <w:p>
      <w:pPr>
        <w:widowControl/>
      </w:pPr>
      <w:r>
        <w:t>Commercial packaging gate: signed installer or controlled distribution, bill of materials, version manifest, SBOM, model and tool licenses, privacy terms, support scope, warranty handling, incident response and documented update lifecycle. If selling hardware, verify applicable radio, battery, electrical, labeling, warranty and shipping obligations for the actual assembly. Obtain the appropriate professional review; this document does not claim a regulatory approval.</w:t>
      </w:r>
    </w:p>
    <w:p>
      <w:pPr>
        <w:widowControl/>
      </w:pPr>
      <w:r>
        <w:t>The first sale should describe exactly the tested configuration and assisted workflows. Market the low-cost kit as diagnostic unless its included instruments and methods establish certification. Do not call a manually operated marketplace workflow an autonomous integration. Do not call the included telephone menu a general AI employee. Each expanded claim must be earned by an implementation and its acceptance evidence.</w:t>
      </w:r>
    </w:p>
    <w:p>
      <w:pPr>
        <w:pStyle w:val="Heading1"/>
      </w:pPr>
      <w:r>
        <w:t>26 Source register</w:t>
      </w:r>
    </w:p>
    <w:p>
      <w:pPr>
        <w:widowControl/>
      </w:pPr>
      <w:r>
        <w:t>Sources were consulted on September 18 2026. Prices may change. A cited product page supports the described product family or listed feature, not the functionality of an uninspected used unit. Procurement allowances and engineering estimates are explicitly our planning judgments.</w:t>
      </w:r>
    </w:p>
    <w:p>
      <w:pPr>
        <w:widowControl/>
      </w:pPr>
      <w:r>
        <w:rPr>
          <w:sz w:val="18"/>
        </w:rPr>
        <w:t>[S1] Panasonic TOUGHBOOK 55 family and variant information. https://eu.connect.panasonic.com/gb/en/toughbook/toughbook-55-series</w:t>
      </w:r>
    </w:p>
    <w:p>
      <w:pPr>
        <w:widowControl/>
      </w:pPr>
      <w:r>
        <w:rPr>
          <w:sz w:val="18"/>
        </w:rPr>
        <w:t>[S2] Panasonic FZ-55 Mk1 North America operating instructions. https://global-pc-support.connect.panasonic.com/dldocs/79232</w:t>
      </w:r>
    </w:p>
    <w:p>
      <w:pPr>
        <w:widowControl/>
      </w:pPr>
      <w:r>
        <w:rPr>
          <w:sz w:val="18"/>
        </w:rPr>
        <w:t>[S3] Veto Pro Pac TECH PAC listing. https://vetopropac.com/product/tech-pac-/</w:t>
      </w:r>
    </w:p>
    <w:p>
      <w:pPr>
        <w:widowControl/>
      </w:pPr>
      <w:r>
        <w:rPr>
          <w:sz w:val="18"/>
        </w:rPr>
        <w:t>[S4] NOYAFA fiber tester catalog and NF-8508 manufacturer feature listing. https://www.noyafa.com/collections/fiber-testers and https://www.noyafa.net/products/nf-8508-optical-power-meter-network-cable-tester</w:t>
      </w:r>
    </w:p>
    <w:p>
      <w:pPr>
        <w:widowControl/>
      </w:pPr>
      <w:r>
        <w:rPr>
          <w:sz w:val="18"/>
        </w:rPr>
        <w:t>[S5] PINE64 store and Pinecil documentation. https://pine64.com/shop/ and https://pine64.org/documentation/Pinecil/_full/</w:t>
      </w:r>
    </w:p>
    <w:p>
      <w:pPr>
        <w:widowControl/>
      </w:pPr>
      <w:r>
        <w:rPr>
          <w:sz w:val="18"/>
        </w:rPr>
        <w:t>[S6] tinySA model comparison and Ultra-mode limitations. https://www.tinysa.org/wiki/pmwiki.php?n=TinySA4.Comparison and https://tinysa.org/wiki/pmwiki.php?n=TinySA4.Ultra</w:t>
      </w:r>
    </w:p>
    <w:p>
      <w:pPr>
        <w:widowControl/>
      </w:pPr>
      <w:r>
        <w:rPr>
          <w:sz w:val="18"/>
        </w:rPr>
        <w:t>[S7] Hantek 6022BE specifications. https://www.hantek.com/products/detail/118</w:t>
      </w:r>
    </w:p>
    <w:p>
      <w:pPr>
        <w:widowControl/>
      </w:pPr>
      <w:r>
        <w:rPr>
          <w:sz w:val="18"/>
        </w:rPr>
        <w:t>[S8] Npcap licensing and redistribution. https://npcap.com/ and https://npcap.com/guide/</w:t>
      </w:r>
    </w:p>
    <w:p>
      <w:pPr>
        <w:widowControl/>
      </w:pPr>
      <w:r>
        <w:rPr>
          <w:sz w:val="18"/>
        </w:rPr>
        <w:t>[S9] ESnet iperf FAQ. https://software.es.net/iperf/faq.html</w:t>
      </w:r>
    </w:p>
    <w:p>
      <w:pPr>
        <w:widowControl/>
      </w:pPr>
      <w:r>
        <w:rPr>
          <w:sz w:val="18"/>
        </w:rPr>
        <w:t>[S10] Ollama API and Qwen2.5 7B license reference. https://github.com/ollama/ollama/blob/main/docs/api/introduction.mdx and https://registry.ollama.com/library/qwen2.5%3A7b-instruct-q4_K_S/blobs/832dd9e00a68</w:t>
      </w:r>
    </w:p>
    <w:p>
      <w:pPr>
        <w:widowControl/>
      </w:pPr>
      <w:r>
        <w:rPr>
          <w:sz w:val="18"/>
        </w:rPr>
        <w:t>[S11] Twilio US voice pricing and billing legs. https://www.twilio.com/en-us/voice/pricing/us and https://help.twilio.com/articles/223179868-How-much-will-my-application-cost-per-minute</w:t>
      </w:r>
    </w:p>
    <w:p>
      <w:pPr>
        <w:widowControl/>
      </w:pPr>
      <w:r>
        <w:rPr>
          <w:sz w:val="18"/>
        </w:rPr>
        <w:t>[S12] FAXAGE service pricing. https://www.faxage.com/pricing.php</w:t>
      </w:r>
    </w:p>
    <w:p>
      <w:pPr>
        <w:widowControl/>
      </w:pPr>
      <w:r>
        <w:rPr>
          <w:sz w:val="18"/>
        </w:rPr>
        <w:t>[S13] Field Nation REST API introduction and prerequisites. https://developer.fieldnation.com/docs/rest-api/introduction/ and https://developer.fieldnation.com/docs/getting-started/prerequisites/</w:t>
      </w:r>
    </w:p>
    <w:p>
      <w:pPr>
        <w:widowControl/>
      </w:pPr>
      <w:r>
        <w:rPr>
          <w:sz w:val="18"/>
        </w:rPr>
        <w:t>[S14] WorkMarket integration brochure. https://assets.ctfassets.net/e4gjw6cmthxq/5JuLObZwFjovoI1DbIf182/7d6caa64f3d3872021791bf3042a2eb4/WorkMarket_3rd_Party_Integrations_060420ext.pdf</w:t>
      </w:r>
    </w:p>
    <w:p>
      <w:pPr>
        <w:widowControl/>
      </w:pPr>
      <w:r>
        <w:rPr>
          <w:sz w:val="18"/>
        </w:rPr>
        <w:t>[S15] Twilio Gather, Dial and Number reference. https://www.twilio.com/docs/voice/twiml/gather and https://www.twilio.com/docs/voice/twiml/dial and https://www.twilio.com/docs/voice/twiml/number</w:t>
      </w:r>
    </w:p>
    <w:p>
      <w:pPr>
        <w:widowControl/>
      </w:pPr>
      <w:r>
        <w:rPr>
          <w:sz w:val="18"/>
        </w:rPr>
        <w:t>[S16] HIKMICRO Mini2 V2 manufacturer product page. https://www.hikmicrotech.com/en/industrial-products/mini2-v2-thermal-camera-phone-attachment/</w:t>
      </w:r>
    </w:p>
    <w:p>
      <w:pPr>
        <w:widowControl/>
      </w:pPr>
      <w:r>
        <w:rPr>
          <w:sz w:val="18"/>
        </w:rPr>
        <w:t>[S17] Refurbished FZ-55 Mk1 example listing, used only to establish a sourcing path, not a configured price quote. https://www.bobjohnson.com/refurbished-panasonic-toughbook-fz55mk1sd/</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Network Engineer Copilot  |  Implementation Canon 1.0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line="259" w:lineRule="auto"/>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80" w:after="140" w:line="259"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59" w:lineRule="auto" w:before="280"/>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9" w:lineRule="auto"/>
    </w:pPr>
    <w:rPr>
      <w:rFonts w:asciiTheme="majorHAnsi" w:eastAsiaTheme="majorEastAsia" w:hAnsiTheme="majorHAnsi" w:cstheme="majorBidi" w:ascii="Calibri" w:hAnsi="Calibri"/>
      <w:i/>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Network Engineer Copilot Technical Implementation Canon</dc:title>
  <dc:subject>Field Office proof of concept and commercial implementation plan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