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40"/>
        <w:jc w:val="center"/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LEGO Kit Style Guide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A LEGO kit document tells a builder how to assemble a figure from the bagged parts in front of them. It is not a description of a design and not a record of how the design was made: every sentence exists to get one part into one place. This guide sets the form such a document takes, so that a kit for any figure reads the same way as a kit for any other.</w:t>
      </w:r>
    </w:p>
    <w:p>
      <w:pPr>
        <w:keepNext/>
        <w:keepLines/>
        <w:spacing w:before="240" w:after="60"/>
      </w:pPr>
      <w:r>
        <w:rPr>
          <w:rFonts w:ascii="Times New Roman" w:hAnsi="Times New Roman"/>
          <w:b/>
          <w:color w:val="000000"/>
          <w:sz w:val="22"/>
          <w:szCs w:val="22"/>
        </w:rPr>
        <w:t xml:space="preserve">The Opening Pages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A kit document opens with the title of the kit, the names of those who made it, and a short account of where the figure came from — the photograph, the mosaic, the three-dimensional projection, the printed figure, and the design in bricks. Pictures of those stages carry the account, and the reader meets the finished figure before being asked to build it.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The opening also says how the parts are divided. A kit arrives as bags, one per element of the figure, and naming them here prepares the reader for the lead-in sentence that opens every section.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The names of the applications and of the kit itself are set in italic: </w:t>
      </w:r>
      <w:r>
        <w:rPr>
          <w:rFonts w:ascii="Times New Roman" w:hAnsi="Times New Roman"/>
          <w:i/>
          <w:color w:val="000000"/>
          <w:sz w:val="22"/>
          <w:szCs w:val="22"/>
        </w:rPr>
        <w:t xml:space="preserve">Sangala Mosaic</w:t>
      </w:r>
      <w:r>
        <w:rPr>
          <w:rFonts w:ascii="Times New Roman" w:hAnsi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/>
          <w:i/>
          <w:color w:val="000000"/>
          <w:sz w:val="22"/>
          <w:szCs w:val="22"/>
        </w:rPr>
        <w:t xml:space="preserve">Sangala Studio</w:t>
      </w:r>
      <w:r>
        <w:rPr>
          <w:rFonts w:ascii="Times New Roman" w:hAnsi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/>
          <w:i/>
          <w:color w:val="000000"/>
          <w:sz w:val="22"/>
          <w:szCs w:val="22"/>
        </w:rPr>
        <w:t xml:space="preserve">Sangala Blocks</w:t>
      </w:r>
      <w:r>
        <w:rPr>
          <w:rFonts w:ascii="Times New Roman" w:hAnsi="Times New Roman"/>
          <w:color w:val="000000"/>
          <w:sz w:val="22"/>
          <w:szCs w:val="22"/>
        </w:rPr>
        <w:t xml:space="preserve">, and the name of the kit.</w:t>
      </w:r>
    </w:p>
    <w:p>
      <w:pPr>
        <w:keepNext/>
        <w:keepLines/>
        <w:spacing w:before="240" w:after="60"/>
      </w:pPr>
      <w:r>
        <w:rPr>
          <w:rFonts w:ascii="Times New Roman" w:hAnsi="Times New Roman"/>
          <w:b/>
          <w:color w:val="000000"/>
          <w:sz w:val="22"/>
          <w:szCs w:val="22"/>
        </w:rPr>
        <w:t xml:space="preserve">Sections and Their Headings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The assembly is divided into numbered sections, one per element of the figure, in the order the builder works. A heading is a number and a short noun phrase naming the element — 1. Head and Crown, 2. Body — not a sentence and not an instruction. Each word is capitalized except the minor ones.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Sections run in build order, and a sub-assembly is assembled before it is attached. An element assembled away from the figure and joined to it later takes two sections: one to build it, one to attach it.</w:t>
      </w:r>
    </w:p>
    <w:p>
      <w:pPr>
        <w:keepNext/>
        <w:keepLines/>
        <w:spacing w:before="240" w:after="60"/>
      </w:pPr>
      <w:r>
        <w:rPr>
          <w:rFonts w:ascii="Times New Roman" w:hAnsi="Times New Roman"/>
          <w:b/>
          <w:color w:val="000000"/>
          <w:sz w:val="22"/>
          <w:szCs w:val="22"/>
        </w:rPr>
        <w:t xml:space="preserve">The Bag Lead-In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Every section opens with one sentence directing the builder to the parts: Locate the bag of LEGO parts labeled “Head and Crown.” The sentence names the bag exactly as the bag is labeled. This line is what makes the document a kit rather than a description, and no section omits it.</w:t>
      </w:r>
    </w:p>
    <w:p>
      <w:pPr>
        <w:keepNext/>
        <w:keepLines/>
        <w:spacing w:before="240" w:after="60"/>
      </w:pPr>
      <w:r>
        <w:rPr>
          <w:rFonts w:ascii="Times New Roman" w:hAnsi="Times New Roman"/>
          <w:b/>
          <w:color w:val="000000"/>
          <w:sz w:val="22"/>
          <w:szCs w:val="22"/>
        </w:rPr>
        <w:t xml:space="preserve">The Steps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The steps of a section are a lettered list — a, b, c — one step to a line. A step is a single action in the imperative: it names the part and says where the part goes. Steps are not run together into a paragraph; a builder holds their place in a list and loses it in prose.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A step says where a part sits relative to parts already placed, in words a builder can act on without measuring. Left and right are given from the reader's view of the figure as the pictures show it.</w:t>
      </w:r>
    </w:p>
    <w:p>
      <w:pPr>
        <w:keepNext/>
        <w:keepLines/>
        <w:spacing w:before="240" w:after="60"/>
      </w:pPr>
      <w:r>
        <w:rPr>
          <w:rFonts w:ascii="Times New Roman" w:hAnsi="Times New Roman"/>
          <w:b/>
          <w:color w:val="000000"/>
          <w:sz w:val="22"/>
          <w:szCs w:val="22"/>
        </w:rPr>
        <w:t xml:space="preserve">Naming the Parts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A part is named in italic, with each word capitalized, at the size and shape the builder must pick out of the bag:</w:t>
      </w:r>
    </w:p>
    <w:p>
      <w:pPr>
        <w:spacing w:before="0" w:after="60"/>
      </w:pPr>
      <w:r>
        <w:rPr>
          <w:rFonts w:ascii="Times New Roman" w:hAnsi="Times New Roman"/>
          <w:i/>
          <w:color w:val="000000"/>
          <w:sz w:val="22"/>
          <w:szCs w:val="22"/>
        </w:rPr>
        <w:t xml:space="preserve">Black 1 x 3 Plate. </w:t>
      </w:r>
      <w:r>
        <w:rPr>
          <w:rFonts w:ascii="Times New Roman" w:hAnsi="Times New Roman"/>
          <w:color w:val="000000"/>
          <w:sz w:val="22"/>
          <w:szCs w:val="22"/>
        </w:rPr>
        <w:t xml:space="preserve">Color, then dimensions, then the kind of part.</w:t>
      </w:r>
    </w:p>
    <w:p>
      <w:pPr>
        <w:spacing w:before="0" w:after="60"/>
      </w:pPr>
      <w:r>
        <w:rPr>
          <w:rFonts w:ascii="Times New Roman" w:hAnsi="Times New Roman"/>
          <w:i/>
          <w:color w:val="000000"/>
          <w:sz w:val="22"/>
          <w:szCs w:val="22"/>
        </w:rPr>
        <w:t xml:space="preserve">White 1 x 1 Round Plate. </w:t>
      </w:r>
      <w:r>
        <w:rPr>
          <w:rFonts w:ascii="Times New Roman" w:hAnsi="Times New Roman"/>
          <w:color w:val="000000"/>
          <w:sz w:val="22"/>
          <w:szCs w:val="22"/>
        </w:rPr>
        <w:t xml:space="preserve">The shape qualifies the kind.</w:t>
      </w:r>
    </w:p>
    <w:p>
      <w:pPr>
        <w:spacing w:before="0" w:after="60"/>
      </w:pPr>
      <w:r>
        <w:rPr>
          <w:rFonts w:ascii="Times New Roman" w:hAnsi="Times New Roman"/>
          <w:i/>
          <w:color w:val="000000"/>
          <w:sz w:val="22"/>
          <w:szCs w:val="22"/>
        </w:rPr>
        <w:t xml:space="preserve">Red Sloped Brick. </w:t>
      </w:r>
      <w:r>
        <w:rPr>
          <w:rFonts w:ascii="Times New Roman" w:hAnsi="Times New Roman"/>
          <w:color w:val="000000"/>
          <w:sz w:val="22"/>
          <w:szCs w:val="22"/>
        </w:rPr>
        <w:t xml:space="preserve">Where a dimension does not help the builder tell one part from another, a plain description serves.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Dimensions are written with spaces around the multiplication sign: 1 x 3, not 1x3. A part named a second time within the same section may be written plainly, without italic, once there is no doubt which part is meant.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A brick carrying studs on its side is a side-stud brick. The collectors' abbreviation for it is never used: these documents are read by children.</w:t>
      </w:r>
    </w:p>
    <w:p>
      <w:pPr>
        <w:keepNext/>
        <w:keepLines/>
        <w:spacing w:before="240" w:after="60"/>
      </w:pPr>
      <w:r>
        <w:rPr>
          <w:rFonts w:ascii="Times New Roman" w:hAnsi="Times New Roman"/>
          <w:b/>
          <w:color w:val="000000"/>
          <w:sz w:val="22"/>
          <w:szCs w:val="22"/>
        </w:rPr>
        <w:t xml:space="preserve">The Pictures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Pictures are made with the Snapshot feature of </w:t>
      </w:r>
      <w:r>
        <w:rPr>
          <w:rFonts w:ascii="Times New Roman" w:hAnsi="Times New Roman"/>
          <w:i/>
          <w:color w:val="000000"/>
          <w:sz w:val="22"/>
          <w:szCs w:val="22"/>
        </w:rPr>
        <w:t xml:space="preserve">Sangala Blocks</w:t>
      </w:r>
      <w:r>
        <w:rPr>
          <w:rFonts w:ascii="Times New Roman" w:hAnsi="Times New Roman"/>
          <w:color w:val="000000"/>
          <w:sz w:val="22"/>
          <w:szCs w:val="22"/>
        </w:rPr>
        <w:t xml:space="preserve">, using its Plan View option, so that the picture is a drawing of the design itself rather than a photograph of a screen. A plan snapshot is cropped to the build and is independent of the window's zoom, so pictures taken at different times sit together consistently.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Pictures are laid out in strips: three to five across a line, about one inch tall, placed after the steps they illustrate rather than between them. A strip keeps a section on one page and lets the builder compare one stage against the next at a glance. All pictures in a strip are set to the same height.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Each picture carries the letter of its step, in plain lowercase with a period, sitting beneath the picture at its left. The label does not sit above the picture and is not set in bold.</w:t>
      </w:r>
    </w:p>
    <w:p>
      <w:pPr>
        <w:keepNext/>
        <w:keepLines/>
        <w:spacing w:before="240" w:after="60"/>
      </w:pPr>
      <w:r>
        <w:rPr>
          <w:rFonts w:ascii="Times New Roman" w:hAnsi="Times New Roman"/>
          <w:b/>
          <w:color w:val="000000"/>
          <w:sz w:val="22"/>
          <w:szCs w:val="22"/>
        </w:rPr>
        <w:t xml:space="preserve">How Many Pictures</w:t>
      </w:r>
    </w:p>
    <w:p>
      <w:pPr>
        <w:spacing w:before="0" w:after="60"/>
      </w:pPr>
      <w:r>
        <w:rPr>
          <w:rFonts w:ascii="Times New Roman" w:hAnsi="Times New Roman"/>
          <w:color w:val="000000"/>
          <w:sz w:val="22"/>
          <w:szCs w:val="22"/>
        </w:rPr>
        <w:t xml:space="preserve">A picture is made for each step whose action it can show. The count of pictures need not match the count of steps:</w:t>
      </w:r>
    </w:p>
    <w:p>
      <w:pPr>
        <w:spacing w:before="0" w:after="60"/>
      </w:pPr>
      <w:r>
        <w:rPr>
          <w:rFonts w:ascii="Times New Roman" w:hAnsi="Times New Roman"/>
          <w:i/>
          <w:color w:val="000000"/>
          <w:sz w:val="22"/>
          <w:szCs w:val="22"/>
        </w:rPr>
        <w:t xml:space="preserve">Steps that share a picture. </w:t>
      </w:r>
      <w:r>
        <w:rPr>
          <w:rFonts w:ascii="Times New Roman" w:hAnsi="Times New Roman"/>
          <w:color w:val="000000"/>
          <w:sz w:val="22"/>
          <w:szCs w:val="22"/>
        </w:rPr>
        <w:t xml:space="preserve">Two placements that differ only in which side of the figure they occupy are one step with one picture, because the second cannot be seen.</w:t>
      </w:r>
    </w:p>
    <w:p>
      <w:pPr>
        <w:spacing w:before="0" w:after="60"/>
      </w:pPr>
      <w:r>
        <w:rPr>
          <w:rFonts w:ascii="Times New Roman" w:hAnsi="Times New Roman"/>
          <w:i/>
          <w:color w:val="000000"/>
          <w:sz w:val="22"/>
          <w:szCs w:val="22"/>
        </w:rPr>
        <w:t xml:space="preserve">Steps with no picture. </w:t>
      </w:r>
      <w:r>
        <w:rPr>
          <w:rFonts w:ascii="Times New Roman" w:hAnsi="Times New Roman"/>
          <w:color w:val="000000"/>
          <w:sz w:val="22"/>
          <w:szCs w:val="22"/>
        </w:rPr>
        <w:t xml:space="preserve">A closing step that states the section is complete uses the last picture of the strip and adds none of its own.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A step whose action cannot be shown is written so that it needs no picture, rather than being given one that shows nothing. This is why the second eye of a figure is folded into the step that places the first.</w:t>
      </w:r>
    </w:p>
    <w:p>
      <w:pPr>
        <w:keepNext/>
        <w:keepLines/>
        <w:spacing w:before="240" w:after="60"/>
      </w:pPr>
      <w:r>
        <w:rPr>
          <w:rFonts w:ascii="Times New Roman" w:hAnsi="Times New Roman"/>
          <w:b/>
          <w:color w:val="000000"/>
          <w:sz w:val="22"/>
          <w:szCs w:val="22"/>
        </w:rPr>
        <w:t xml:space="preserve">What Each Picture Shows</w:t>
      </w:r>
    </w:p>
    <w:p>
      <w:pPr>
        <w:spacing w:before="0" w:after="60"/>
      </w:pPr>
      <w:r>
        <w:rPr>
          <w:rFonts w:ascii="Times New Roman" w:hAnsi="Times New Roman"/>
          <w:color w:val="000000"/>
          <w:sz w:val="22"/>
          <w:szCs w:val="22"/>
        </w:rPr>
        <w:t xml:space="preserve">The pictures follow one grammar throughout a document, so that a builder learns to read them once:</w:t>
      </w:r>
    </w:p>
    <w:p>
      <w:pPr>
        <w:spacing w:before="0" w:after="60"/>
      </w:pPr>
      <w:r>
        <w:rPr>
          <w:rFonts w:ascii="Times New Roman" w:hAnsi="Times New Roman"/>
          <w:i/>
          <w:color w:val="000000"/>
          <w:sz w:val="22"/>
          <w:szCs w:val="22"/>
        </w:rPr>
        <w:t xml:space="preserve">Seated and arriving. </w:t>
      </w:r>
      <w:r>
        <w:rPr>
          <w:rFonts w:ascii="Times New Roman" w:hAnsi="Times New Roman"/>
          <w:color w:val="000000"/>
          <w:sz w:val="22"/>
          <w:szCs w:val="22"/>
        </w:rPr>
        <w:t xml:space="preserve">Parts already placed sit in position. The part being added hovers a short distance above, or beside, the place it will take, and it is selected, so that it carries the outline marking it as the part the step is about.</w:t>
      </w:r>
    </w:p>
    <w:p>
      <w:pPr>
        <w:spacing w:before="0" w:after="60"/>
      </w:pPr>
      <w:r>
        <w:rPr>
          <w:rFonts w:ascii="Times New Roman" w:hAnsi="Times New Roman"/>
          <w:i/>
          <w:color w:val="000000"/>
          <w:sz w:val="22"/>
          <w:szCs w:val="22"/>
        </w:rPr>
        <w:t xml:space="preserve">Parts mounted on side studs. </w:t>
      </w:r>
      <w:r>
        <w:rPr>
          <w:rFonts w:ascii="Times New Roman" w:hAnsi="Times New Roman"/>
          <w:color w:val="000000"/>
          <w:sz w:val="22"/>
          <w:szCs w:val="22"/>
        </w:rPr>
        <w:t xml:space="preserve">A part that mounts on the side of the figure is shown seated. A hovering position in front of the figure does not read in a flat view.</w:t>
      </w:r>
    </w:p>
    <w:p>
      <w:pPr>
        <w:spacing w:before="0" w:after="60"/>
      </w:pPr>
      <w:r>
        <w:rPr>
          <w:rFonts w:ascii="Times New Roman" w:hAnsi="Times New Roman"/>
          <w:i/>
          <w:color w:val="000000"/>
          <w:sz w:val="22"/>
          <w:szCs w:val="22"/>
        </w:rPr>
        <w:t xml:space="preserve">Sub-assemblies alone. </w:t>
      </w:r>
      <w:r>
        <w:rPr>
          <w:rFonts w:ascii="Times New Roman" w:hAnsi="Times New Roman"/>
          <w:color w:val="000000"/>
          <w:sz w:val="22"/>
          <w:szCs w:val="22"/>
        </w:rPr>
        <w:t xml:space="preserve">A section that builds an element away from the figure is photographed with only that element's parts in the workspace, so the element fills its picture.</w:t>
      </w:r>
    </w:p>
    <w:p>
      <w:pPr>
        <w:spacing w:before="0" w:after="60"/>
      </w:pPr>
      <w:r>
        <w:rPr>
          <w:rFonts w:ascii="Times New Roman" w:hAnsi="Times New Roman"/>
          <w:i/>
          <w:color w:val="000000"/>
          <w:sz w:val="22"/>
          <w:szCs w:val="22"/>
        </w:rPr>
        <w:t xml:space="preserve">Attachments hover, then seat. </w:t>
      </w:r>
      <w:r>
        <w:rPr>
          <w:rFonts w:ascii="Times New Roman" w:hAnsi="Times New Roman"/>
          <w:color w:val="000000"/>
          <w:sz w:val="22"/>
          <w:szCs w:val="22"/>
        </w:rPr>
        <w:t xml:space="preserve">When a finished element joins the figure, one picture shows it hovering at its destination and the next shows it seated.</w:t>
      </w:r>
    </w:p>
    <w:p>
      <w:pPr>
        <w:spacing w:before="0" w:after="60"/>
      </w:pPr>
      <w:r>
        <w:rPr>
          <w:rFonts w:ascii="Times New Roman" w:hAnsi="Times New Roman"/>
          <w:i/>
          <w:color w:val="000000"/>
          <w:sz w:val="22"/>
          <w:szCs w:val="22"/>
        </w:rPr>
        <w:t xml:space="preserve">Mirrored elements. </w:t>
      </w:r>
      <w:r>
        <w:rPr>
          <w:rFonts w:ascii="Times New Roman" w:hAnsi="Times New Roman"/>
          <w:color w:val="000000"/>
          <w:sz w:val="22"/>
          <w:szCs w:val="22"/>
        </w:rPr>
        <w:t xml:space="preserve">An element built as a mirror image of another is assembled beside it, so that the two can be compared in one picture and told apart.</w:t>
      </w:r>
    </w:p>
    <w:p>
      <w:pPr>
        <w:keepNext/>
        <w:keepLines/>
        <w:spacing w:before="240" w:after="60"/>
      </w:pPr>
      <w:r>
        <w:rPr>
          <w:rFonts w:ascii="Times New Roman" w:hAnsi="Times New Roman"/>
          <w:b/>
          <w:color w:val="000000"/>
          <w:sz w:val="22"/>
          <w:szCs w:val="22"/>
        </w:rPr>
        <w:t xml:space="preserve">Closing a Section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A section ends with a step that tells the builder what the finished element should look like and points to the picture that shows it: The completed head and crown should look like the image on the right (above). The sentence gives the builder a way to check the work before moving on.</w:t>
      </w:r>
    </w:p>
    <w:p>
      <w:r>
        <w:br w:type="page"/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bottom w:w="40" w:type="dxa"/>
        </w:tblCellMar>
        <w:tblLook w:val="04A0" w:firstRow="1" w:lastRow="0" w:firstColumn="1" w:lastColumn="0" w:noHBand="0" w:noVBand="1"/>
      </w:tblPr>
      <w:tblGrid>
        <w:gridCol w:w="1358"/>
        <w:gridCol w:w="2963"/>
        <w:gridCol w:w="3951"/>
      </w:tblGrid>
      <w:tr>
        <w:trPr>
          <w:tblHeader/>
          <w:jc w:val="center"/>
        </w:trPr>
        <w:tc>
          <w:tcPr>
            <w:tcW w:w="827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2"/>
              </w:rPr>
              <w:t xml:space="preserve">Table 1. The Parts of a Section, in Order</w:t>
            </w:r>
          </w:p>
        </w:tc>
      </w:tr>
      <w:tr>
        <w:trPr>
          <w:tblHeader/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Cs/>
                <w:i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i/>
                <w:sz w:val="20"/>
                <w:szCs w:val="22"/>
              </w:rPr>
              <w:t xml:space="preserve">Element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Cs/>
                <w:i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i/>
                <w:sz w:val="20"/>
                <w:szCs w:val="22"/>
              </w:rPr>
              <w:t xml:space="preserve">Form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Cs/>
                <w:i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i/>
                <w:sz w:val="20"/>
                <w:szCs w:val="22"/>
              </w:rPr>
              <w:t xml:space="preserve">Example</w:t>
            </w:r>
          </w:p>
        </w:tc>
      </w:tr>
      <w:tr>
        <w:trPr>
          <w:jc w:val="center"/>
        </w:trPr>
        <w:tc>
          <w:tcPr>
            <w:tcW w:w="1358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 w:left="171"/>
              <w:spacing w:before="60" w:after="40"/>
              <w:rPr>
                <w:rFonts w:ascii="Arial" w:eastAsia="Times New Roman" w:hAnsi="Arial" w:cs="Arial"/>
                <w:bCs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2"/>
              </w:rPr>
              <w:t xml:space="preserve">Heading</w:t>
            </w:r>
          </w:p>
        </w:tc>
        <w:tc>
          <w:tcPr>
            <w:tcW w:w="2963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rPr>
                <w:rFonts w:ascii="Arial" w:eastAsia="Times New Roman" w:hAnsi="Arial" w:cs="Arial"/>
                <w:bCs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2"/>
              </w:rPr>
              <w:t xml:space="preserve">Number and short noun phrase, bold</w:t>
            </w:r>
          </w:p>
        </w:tc>
        <w:tc>
          <w:tcPr>
            <w:tcW w:w="3951" w:type="dxa"/>
            <w:tcBorders>
              <w:top w:val="doub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rPr>
                <w:rFonts w:ascii="Arial" w:eastAsia="Times New Roman" w:hAnsi="Arial" w:cs="Arial"/>
                <w:bCs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2"/>
              </w:rPr>
              <w:t xml:space="preserve">1. Head and Crown</w:t>
            </w:r>
          </w:p>
        </w:tc>
      </w:tr>
      <w:tr>
        <w:trPr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 w:left="171"/>
              <w:spacing w:before="60" w:after="40"/>
              <w:rPr>
                <w:rFonts w:ascii="Arial" w:eastAsia="Times New Roman" w:hAnsi="Arial" w:cs="Arial"/>
                <w:bCs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2"/>
              </w:rPr>
              <w:t xml:space="preserve">Lead-in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rPr>
                <w:rFonts w:ascii="Arial" w:eastAsia="Times New Roman" w:hAnsi="Arial" w:cs="Arial"/>
                <w:bCs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2"/>
              </w:rPr>
              <w:t xml:space="preserve">One sentence naming the bag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rPr>
                <w:rFonts w:ascii="Arial" w:eastAsia="Times New Roman" w:hAnsi="Arial" w:cs="Arial"/>
                <w:bCs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2"/>
              </w:rPr>
              <w:t xml:space="preserve">Locate the bag of LEGO parts labeled “Head and Crown.”</w:t>
            </w:r>
          </w:p>
        </w:tc>
      </w:tr>
      <w:tr>
        <w:trPr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 w:left="171"/>
              <w:spacing w:before="60" w:after="40"/>
              <w:rPr>
                <w:rFonts w:ascii="Arial" w:eastAsia="Times New Roman" w:hAnsi="Arial" w:cs="Arial"/>
                <w:bCs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2"/>
              </w:rPr>
              <w:t xml:space="preserve">Steps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rPr>
                <w:rFonts w:ascii="Arial" w:eastAsia="Times New Roman" w:hAnsi="Arial" w:cs="Arial"/>
                <w:bCs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2"/>
              </w:rPr>
              <w:t xml:space="preserve">Lettered list, one action to a line, part names in italic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rPr>
                <w:rFonts w:ascii="Arial" w:eastAsia="Times New Roman" w:hAnsi="Arial" w:cs="Arial"/>
                <w:bCs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2"/>
              </w:rPr>
              <w:t xml:space="preserve">a. Place the Black 1 x 3 Plate on top of the Black 1 x 2 Brick.</w:t>
            </w:r>
          </w:p>
        </w:tc>
      </w:tr>
      <w:tr>
        <w:trPr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 w:left="171"/>
              <w:spacing w:before="60" w:after="40"/>
              <w:rPr>
                <w:rFonts w:ascii="Arial" w:eastAsia="Times New Roman" w:hAnsi="Arial" w:cs="Arial"/>
                <w:bCs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2"/>
              </w:rPr>
              <w:t xml:space="preserve">Pictures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rPr>
                <w:rFonts w:ascii="Arial" w:eastAsia="Times New Roman" w:hAnsi="Arial" w:cs="Arial"/>
                <w:bCs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2"/>
              </w:rPr>
              <w:t xml:space="preserve">A strip across the line, label beneath at the left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rPr>
                <w:rFonts w:ascii="Arial" w:eastAsia="Times New Roman" w:hAnsi="Arial" w:cs="Arial"/>
                <w:bCs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2"/>
              </w:rPr>
              <w:t xml:space="preserve">a.   b.   c.</w:t>
            </w:r>
          </w:p>
        </w:tc>
      </w:tr>
      <w:tr>
        <w:trPr>
          <w:jc w:val="center"/>
        </w:trPr>
        <w:tc>
          <w:tcPr>
            <w:tcW w:w="1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 w:left="171"/>
              <w:spacing w:before="60" w:after="40"/>
              <w:rPr>
                <w:rFonts w:ascii="Arial" w:eastAsia="Times New Roman" w:hAnsi="Arial" w:cs="Arial"/>
                <w:bCs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2"/>
              </w:rPr>
              <w:t xml:space="preserve">Closing step</w:t>
            </w:r>
          </w:p>
        </w:tc>
        <w:tc>
          <w:tcPr>
            <w:tcW w:w="2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rPr>
                <w:rFonts w:ascii="Arial" w:eastAsia="Times New Roman" w:hAnsi="Arial" w:cs="Arial"/>
                <w:bCs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2"/>
              </w:rPr>
              <w:t xml:space="preserve">A sentence pointing to the finished picture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rPr>
                <w:rFonts w:ascii="Arial" w:eastAsia="Times New Roman" w:hAnsi="Arial" w:cs="Arial"/>
                <w:bCs/>
                <w:sz w:val="20"/>
                <w:szCs w:val="22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2"/>
              </w:rPr>
              <w:t xml:space="preserve">e. The completed head and crown should look like the image on the right (above).</w:t>
            </w:r>
          </w:p>
        </w:tc>
      </w:tr>
    </w:tbl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/>
      </w:r>
    </w:p>
    <w:p>
      <w:pPr>
        <w:keepNext/>
        <w:keepLines/>
        <w:spacing w:before="240" w:after="60"/>
      </w:pPr>
      <w:r>
        <w:rPr>
          <w:rFonts w:ascii="Times New Roman" w:hAnsi="Times New Roman"/>
          <w:b/>
          <w:color w:val="000000"/>
          <w:sz w:val="22"/>
          <w:szCs w:val="22"/>
        </w:rPr>
        <w:t xml:space="preserve">Formatting the Document Carries</w:t>
      </w:r>
    </w:p>
    <w:p>
      <w:pPr>
        <w:spacing w:before="0" w:after="60"/>
      </w:pPr>
      <w:r>
        <w:rPr>
          <w:rFonts w:ascii="Times New Roman" w:hAnsi="Times New Roman"/>
          <w:color w:val="000000"/>
          <w:sz w:val="22"/>
          <w:szCs w:val="22"/>
        </w:rPr>
        <w:t xml:space="preserve">A kit document follows the same house formatting as every other document in the Sangala family:</w:t>
      </w:r>
    </w:p>
    <w:p>
      <w:pPr>
        <w:spacing w:before="0" w:after="60"/>
      </w:pPr>
      <w:r>
        <w:rPr>
          <w:rFonts w:ascii="Times New Roman" w:hAnsi="Times New Roman"/>
          <w:i/>
          <w:color w:val="000000"/>
          <w:sz w:val="22"/>
          <w:szCs w:val="22"/>
        </w:rPr>
        <w:t xml:space="preserve">Body text. </w:t>
      </w:r>
      <w:r>
        <w:rPr>
          <w:rFonts w:ascii="Times New Roman" w:hAnsi="Times New Roman"/>
          <w:color w:val="000000"/>
          <w:sz w:val="22"/>
          <w:szCs w:val="22"/>
        </w:rPr>
        <w:t xml:space="preserve">Times New Roman 11 pt, black.</w:t>
      </w:r>
    </w:p>
    <w:p>
      <w:pPr>
        <w:spacing w:before="0" w:after="60"/>
      </w:pPr>
      <w:r>
        <w:rPr>
          <w:rFonts w:ascii="Times New Roman" w:hAnsi="Times New Roman"/>
          <w:i/>
          <w:color w:val="000000"/>
          <w:sz w:val="22"/>
          <w:szCs w:val="22"/>
        </w:rPr>
        <w:t xml:space="preserve">Page numbers. </w:t>
      </w:r>
      <w:r>
        <w:rPr>
          <w:rFonts w:ascii="Times New Roman" w:hAnsi="Times New Roman"/>
          <w:color w:val="000000"/>
          <w:sz w:val="22"/>
          <w:szCs w:val="22"/>
        </w:rPr>
        <w:t xml:space="preserve">Bottom center, from a page field, on any document longer than one page.</w:t>
      </w:r>
    </w:p>
    <w:p>
      <w:pPr>
        <w:spacing w:before="0" w:after="60"/>
      </w:pPr>
      <w:r>
        <w:rPr>
          <w:rFonts w:ascii="Times New Roman" w:hAnsi="Times New Roman"/>
          <w:i/>
          <w:color w:val="000000"/>
          <w:sz w:val="22"/>
          <w:szCs w:val="22"/>
        </w:rPr>
        <w:t xml:space="preserve">Headings. </w:t>
      </w:r>
      <w:r>
        <w:rPr>
          <w:rFonts w:ascii="Times New Roman" w:hAnsi="Times New Roman"/>
          <w:color w:val="000000"/>
          <w:sz w:val="22"/>
          <w:szCs w:val="22"/>
        </w:rPr>
        <w:t xml:space="preserve">Kept with the text beneath them, so that a heading can never stand alone at the foot of a page.</w:t>
      </w:r>
    </w:p>
    <w:p>
      <w:pPr>
        <w:spacing w:before="0" w:after="60"/>
      </w:pPr>
      <w:r>
        <w:rPr>
          <w:rFonts w:ascii="Times New Roman" w:hAnsi="Times New Roman"/>
          <w:i/>
          <w:color w:val="000000"/>
          <w:sz w:val="22"/>
          <w:szCs w:val="22"/>
        </w:rPr>
        <w:t xml:space="preserve">Spacing. </w:t>
      </w:r>
      <w:r>
        <w:rPr>
          <w:rFonts w:ascii="Times New Roman" w:hAnsi="Times New Roman"/>
          <w:color w:val="000000"/>
          <w:sz w:val="22"/>
          <w:szCs w:val="22"/>
        </w:rPr>
        <w:t xml:space="preserve">Three points after a list item; a lead-in sentence sits tight to the list it introduces.</w:t>
      </w:r>
    </w:p>
    <w:p>
      <w:pPr>
        <w:spacing w:before="0" w:after="60"/>
      </w:pPr>
      <w:r>
        <w:rPr>
          <w:rFonts w:ascii="Times New Roman" w:hAnsi="Times New Roman"/>
          <w:i/>
          <w:color w:val="000000"/>
          <w:sz w:val="22"/>
          <w:szCs w:val="22"/>
        </w:rPr>
        <w:t xml:space="preserve">Spelling. </w:t>
      </w:r>
      <w:r>
        <w:rPr>
          <w:rFonts w:ascii="Times New Roman" w:hAnsi="Times New Roman"/>
          <w:color w:val="000000"/>
          <w:sz w:val="22"/>
          <w:szCs w:val="22"/>
        </w:rPr>
        <w:t xml:space="preserve">American throughout — color, gray, center, labeled.</w:t>
      </w:r>
    </w:p>
    <w:p>
      <w:pPr>
        <w:spacing w:before="0" w:after="100"/>
      </w:pPr>
      <w:r>
        <w:rPr>
          <w:rFonts w:ascii="Times New Roman" w:hAnsi="Times New Roman"/>
          <w:color w:val="000000"/>
          <w:sz w:val="22"/>
          <w:szCs w:val="22"/>
        </w:rPr>
        <w:t xml:space="preserve">A version number is never written inside the document. The file name carries it, and the superseded version moves to the Archive folder beside the current one.</w:t>
      </w:r>
    </w:p>
    <w:sectPr>
      <w:footerReference w:type="default" r:id="rId9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000000"/>
        <w:sz w:val="22"/>
        <w:szCs w:val="22"/>
      </w:rPr>
      <w:t xml:space="preserve"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</w:rPr>
    </w:rPrDefault>
    <w:pPrDefault>
      <w:pPr>
        <w:spacing w:before="0" w:after="100"/>
      </w:pPr>
    </w:pPrDefault>
  </w:docDefaults>
  <w:style w:type="paragraph" w:default="1" w:styleId="Normal">
    <w:name w:val="Normal"/>
    <w:qFormat/>
  </w:style>
  <w:style w:type="paragraph" w:styleId="Caption">
    <w:name w:val="caption"/>
    <w:basedOn w:val="Normal"/>
    <w:next w:val="Normal"/>
    <w:qFormat/>
    <w:pPr>
      <w:keepLines/>
      <w:spacing w:before="60" w:after="200"/>
      <w:jc w:val="center"/>
    </w:pPr>
    <w:rPr>
      <w:rFonts w:ascii="Arial" w:eastAsia="Arial" w:hAnsi="Arial" w:cs="Arial"/>
      <w:i/>
      <w:iCs/>
      <w:color w:val="444444"/>
      <w:sz w:val="20"/>
      <w:szCs w:val="20"/>
    </w:rPr>
  </w:style>
  <w:style w:type="paragraph" w:customStyle="1" w:styleId="Figure">
    <w:name w:val="Figure"/>
    <w:basedOn w:val="Normal"/>
    <w:next w:val="Caption"/>
    <w:pPr>
      <w:keepNext/>
      <w:spacing w:before="320" w:after="0"/>
      <w:jc w:val="center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footer" Target="footer1.xml"/></Relationships>
</file>