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one thing a browser cannot do for itself: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flipped, whether it has been turned onto its side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front elevation,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back face sits, in studs, positive toward the viewer and negative away from them;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Turning a Part. </w:t>
      </w:r>
      <w:r>
        <w:rPr>
          <w:rFonts w:ascii="Times New Roman" w:hAnsi="Times New Roman"/>
          <w:color w:val="000000"/>
          <w:sz w:val="22"/>
          <w:szCs w:val="22"/>
        </w:rPr>
        <w:t xml:space="preserve">A part laid on its side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but color and quantity from LDraw;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10.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says so.</w:t>
      </w:r>
    </w:p>
    <w:p>
      <w:pPr>
        <w:keepNext/>
        <w:keepLines/>
        <w:spacing w:before="240" w:after="60"/>
      </w:pPr>
      <w:r>
        <w:rPr>
          <w:rFonts w:ascii="Times New Roman" w:hAnsi="Times New Roman"/>
          <w:b/>
          <w:color w:val="000000"/>
          <w:sz w:val="22"/>
          <w:szCs w:val="22"/>
        </w:rPr>
        <w:t xml:space="preserve">11.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12.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13.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two forms: plain text to read, and a BrickLink Wanted List as XML to order from. The one thing in that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14.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15.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16.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back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Turned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Laid on the side of the figure with its studs toward the viewer, rather than standing upright</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receives text, runs a program and returns an image,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