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Adding LEGO Parts to Sangala Blocks</w:t>
      </w:r>
    </w:p>
    <w:p>
      <w:pPr>
        <w:spacing w:before="0" w:after="100"/>
      </w:pPr>
      <w:r>
        <w:rPr>
          <w:rFonts w:ascii="Times New Roman" w:hAnsi="Times New Roman"/>
          <w:color w:val="000000"/>
          <w:sz w:val="22"/>
          <w:szCs w:val="22"/>
        </w:rPr>
        <w:t xml:space="preserve">Sangala Blocks plans a kit of real LEGO bricks, so every part it offers carries a real design number and a real footprint. Those facts already exist in the LDraw parts library, which sits beside the application, and the application derives its catalogue from that library rather than from anything typed by hand. This document records the format that library uses, the form in which a collaborator should submit a list of parts, and the file that list becomes.</w:t>
      </w:r>
    </w:p>
    <w:p>
      <w:pPr>
        <w:keepNext/>
        <w:keepLines/>
        <w:spacing w:before="240" w:after="60"/>
      </w:pPr>
      <w:r>
        <w:rPr>
          <w:rFonts w:ascii="Times New Roman" w:hAnsi="Times New Roman"/>
          <w:b/>
          <w:color w:val="000000"/>
          <w:sz w:val="22"/>
          <w:szCs w:val="22"/>
        </w:rPr>
        <w:t xml:space="preserve">What the LDraw Format Is</w:t>
      </w:r>
    </w:p>
    <w:p>
      <w:pPr>
        <w:spacing w:before="0" w:after="60"/>
      </w:pPr>
      <w:r>
        <w:rPr>
          <w:rFonts w:ascii="Times New Roman" w:hAnsi="Times New Roman"/>
          <w:color w:val="000000"/>
          <w:sz w:val="22"/>
          <w:szCs w:val="22"/>
        </w:rPr>
        <w:t xml:space="preserve">Every part is one plain-text file named by its LEGO design number: 3005.dat is Brick 1 x 1. The local copy holds 24,591 of them. The first line of a file is the part's description, followed by header lines and then geometry. Each line is typed by the number it begins with.</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661"/>
        <w:gridCol w:w="5128"/>
        <w:gridCol w:w="2483"/>
      </w:tblGrid>
      <w:tr>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Line Types in an LDraw Part File</w:t>
            </w:r>
          </w:p>
        </w:tc>
      </w:tr>
      <w:tr>
        <w:trPr>
          <w:tblHeader/>
          <w:jc w:val="center"/>
        </w:trPr>
        <w:tc>
          <w:tcPr>
            <w:tcW w:w="6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Type</w:t>
            </w:r>
          </w:p>
        </w:tc>
        <w:tc>
          <w:tcPr>
            <w:tcW w:w="5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Carries</w:t>
            </w:r>
          </w:p>
        </w:tc>
        <w:tc>
          <w:tcPr>
            <w:tcW w:w="248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Example</w:t>
            </w:r>
          </w:p>
        </w:tc>
      </w:tr>
      <w:tr>
        <w:trPr>
          <w:jc w:val="center"/>
        </w:trPr>
        <w:tc>
          <w:tcPr>
            <w:tcW w:w="6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0</w:t>
            </w:r>
          </w:p>
        </w:tc>
        <w:tc>
          <w:tcPr>
            <w:tcW w:w="5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comment or a meta command: the description, Name, Author, LDRAW_ORG, LICENSE, BFC and HISTORY. A retired number redirects here, and the redirection must be followed</w:t>
            </w:r>
          </w:p>
        </w:tc>
        <w:tc>
          <w:tcPr>
            <w:tcW w:w="248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 ~Moved to 3023b</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1</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reference to another file, with a 3 x 4 transform in row-major order. Parts are built from shared sub-files rather than repeating geometry</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1 16 0 0 0 1 0 0 0 1 0 0 0 1 s\3005s01.dat</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line, as two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2 24 -10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triangle, as three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 16 x y z x y z x y z</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4</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quadrilateral, as four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4 16 -10 24 -10 10 24 -10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optional line, drawn only at a silhouette edge</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5 24 x y z x y z x y z x y z</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Colour is not held in the part. The code 16 means "inherit from whatever placed this", and the palette itself is a separate file, LDConfig.ldr, one line per colour: 0 !COLOUR Black CODE 0 VALUE #1B2A34 EDGE #808080. A model or an assembly uses the same grammar in a .ldr or .mpd file, one type-1 line for each brick placed, with 0 STEP marking the steps of a set of instructions.</w:t>
      </w:r>
    </w:p>
    <w:p>
      <w:pPr>
        <w:spacing w:before="0" w:after="100"/>
      </w:pPr>
      <w:r>
        <w:rPr>
          <w:rFonts w:ascii="Times New Roman" w:hAnsi="Times New Roman"/>
          <w:color w:val="000000"/>
          <w:sz w:val="22"/>
          <w:szCs w:val="22"/>
        </w:rPr>
        <w:t xml:space="preserve">The measurements matter as much as the grammar. One LDraw unit is 0.4 mm; a stud is 20 units, which is the 8 mm pitch Sangala Blocks already snaps to; a plate is 8 units and a brick 24. The Y axis points DOWN, so a part's origin sits at the top of its body rather than the bottom.</w:t>
      </w:r>
    </w:p>
    <w:p>
      <w:pPr>
        <w:keepNext/>
        <w:keepLines/>
        <w:spacing w:before="240" w:after="60"/>
      </w:pPr>
      <w:r>
        <w:rPr>
          <w:rFonts w:ascii="Times New Roman" w:hAnsi="Times New Roman"/>
          <w:b/>
          <w:color w:val="000000"/>
          <w:sz w:val="22"/>
          <w:szCs w:val="22"/>
        </w:rPr>
        <w:t xml:space="preserve">The Form a List Should Be Sent In</w:t>
      </w:r>
    </w:p>
    <w:p>
      <w:pPr>
        <w:spacing w:before="0" w:after="60"/>
      </w:pPr>
      <w:r>
        <w:rPr>
          <w:rFonts w:ascii="Times New Roman" w:hAnsi="Times New Roman"/>
          <w:color w:val="000000"/>
          <w:sz w:val="22"/>
          <w:szCs w:val="22"/>
        </w:rPr>
        <w:t xml:space="preserve">A plain text file, one part to a line: the design number, then a quantity and a colour if they are known. Nothing else.</w:t>
      </w:r>
    </w:p>
    <w:p>
      <w:pPr>
        <w:ind w:left="360"/>
        <w:spacing w:before="0" w:after="0"/>
      </w:pPr>
      <w:r>
        <w:rPr>
          <w:rFonts w:ascii="Consolas" w:hAnsi="Consolas"/>
          <w:color w:val="000000"/>
          <w:sz w:val="18"/>
          <w:szCs w:val="18"/>
        </w:rPr>
        <w:t xml:space="preserve">3001, 12, red</w:t>
      </w:r>
    </w:p>
    <w:p>
      <w:pPr>
        <w:ind w:left="360"/>
        <w:spacing w:before="0" w:after="0"/>
      </w:pPr>
      <w:r>
        <w:rPr>
          <w:rFonts w:ascii="Consolas" w:hAnsi="Consolas"/>
          <w:color w:val="000000"/>
          <w:sz w:val="18"/>
          <w:szCs w:val="18"/>
        </w:rPr>
        <w:t xml:space="preserve">3003, 8, yellow</w:t>
      </w:r>
    </w:p>
    <w:p>
      <w:pPr>
        <w:ind w:left="360"/>
        <w:spacing w:before="0" w:after="0"/>
      </w:pPr>
      <w:r>
        <w:rPr>
          <w:rFonts w:ascii="Consolas" w:hAnsi="Consolas"/>
          <w:color w:val="000000"/>
          <w:sz w:val="18"/>
          <w:szCs w:val="18"/>
        </w:rPr>
        <w:t xml:space="preserve">3623, 20</w:t>
      </w:r>
    </w:p>
    <w:p>
      <w:pPr>
        <w:ind w:left="360"/>
        <w:spacing w:before="0" w:after="0"/>
      </w:pPr>
      <w:r>
        <w:rPr>
          <w:rFonts w:ascii="Consolas" w:hAnsi="Consolas"/>
          <w:color w:val="000000"/>
          <w:sz w:val="18"/>
          <w:szCs w:val="18"/>
        </w:rPr>
        <w:t xml:space="preserve">3040</w:t>
      </w:r>
    </w:p>
    <w:p>
      <w:pPr>
        <w:spacing w:before="0" w:after="100"/>
      </w:pPr>
      <w:r>
        <w:rPr>
          <w:rFonts w:ascii="Times New Roman" w:hAnsi="Times New Roman"/>
          <w:color w:val="000000"/>
          <w:sz w:val="22"/>
          <w:szCs w:val="22"/>
        </w:rPr>
        <w:t xml:space="preserve">Dimensions and descriptions are deliberately excluded. Both are already in the library, and entering them a second time creates a second copy that will drift from the first. Where a part is known by sight rather than by number, its description may be written instead — Slope Brick 45 2 x 1 — and the builder reports what it matched so the match can be confirmed before the library is written.</w:t>
      </w:r>
    </w:p>
    <w:p>
      <w:pPr>
        <w:spacing w:before="0" w:after="100"/>
      </w:pPr>
      <w:r>
        <w:rPr>
          <w:rFonts w:ascii="Times New Roman" w:hAnsi="Times New Roman"/>
          <w:color w:val="000000"/>
          <w:sz w:val="22"/>
          <w:szCs w:val="22"/>
        </w:rPr>
        <w:t xml:space="preserve">Quantities are optional and decide what the list means: included, it is an inventory of bricks physically in hand and a design's parts list can be checked against it; omitted, it is simply the set of shapes the application should offer.</w:t>
      </w:r>
    </w:p>
    <w:p>
      <w:pPr>
        <w:keepNext/>
        <w:keepLines/>
        <w:spacing w:before="240" w:after="60"/>
      </w:pPr>
      <w:r>
        <w:rPr>
          <w:rFonts w:ascii="Times New Roman" w:hAnsi="Times New Roman"/>
          <w:b/>
          <w:color w:val="000000"/>
          <w:sz w:val="22"/>
          <w:szCs w:val="22"/>
        </w:rPr>
        <w:t xml:space="preserve">What Is Derived Rather Than Typed</w:t>
      </w:r>
    </w:p>
    <w:p>
      <w:pPr>
        <w:spacing w:before="0" w:after="60"/>
      </w:pPr>
      <w:r>
        <w:rPr>
          <w:rFonts w:ascii="Times New Roman" w:hAnsi="Times New Roman"/>
          <w:color w:val="000000"/>
          <w:sz w:val="22"/>
          <w:szCs w:val="22"/>
        </w:rPr>
        <w:t xml:space="preserve">tools\ldparts.py resolves each number against the library, follows a retired number to its replacement, and measures the part. Run against three of the lines above it reports:</w:t>
      </w:r>
    </w:p>
    <w:p>
      <w:pPr>
        <w:ind w:left="360"/>
        <w:spacing w:before="0" w:after="0"/>
      </w:pPr>
      <w:r>
        <w:rPr>
          <w:rFonts w:ascii="Consolas" w:hAnsi="Consolas"/>
          <w:color w:val="000000"/>
          <w:sz w:val="18"/>
          <w:szCs w:val="18"/>
        </w:rPr>
        <w:t xml:space="preserve">3001          Brick  2 x  4              4.00 x 2.00 studs    3.5 plates</w:t>
      </w:r>
    </w:p>
    <w:p>
      <w:pPr>
        <w:ind w:left="360"/>
        <w:spacing w:before="0" w:after="0"/>
      </w:pPr>
      <w:r>
        <w:rPr>
          <w:rFonts w:ascii="Consolas" w:hAnsi="Consolas"/>
          <w:color w:val="000000"/>
          <w:sz w:val="18"/>
          <w:szCs w:val="18"/>
        </w:rPr>
        <w:t xml:space="preserve">3623          Plate  1 x  3              3.00 x 1.00 studs    1.5 plates</w:t>
      </w:r>
    </w:p>
    <w:p>
      <w:pPr>
        <w:ind w:left="360"/>
        <w:spacing w:before="0" w:after="0"/>
      </w:pPr>
      <w:r>
        <w:rPr>
          <w:rFonts w:ascii="Consolas" w:hAnsi="Consolas"/>
          <w:color w:val="000000"/>
          <w:sz w:val="18"/>
          <w:szCs w:val="18"/>
        </w:rPr>
        <w:t xml:space="preserve">3040 -&gt; 3040b Slope Brick 45  2 x  1     1.00 x 2.00 studs    3.5 plates</w:t>
      </w:r>
    </w:p>
    <w:p>
      <w:pPr>
        <w:spacing w:before="0" w:after="100"/>
      </w:pPr>
      <w:r>
        <w:rPr>
          <w:rFonts w:ascii="Times New Roman" w:hAnsi="Times New Roman"/>
          <w:color w:val="000000"/>
          <w:sz w:val="22"/>
          <w:szCs w:val="22"/>
        </w:rPr>
        <w:t xml:space="preserve">Two details in that output are worth naming. The number 3040 is retired and answers as 3040b, which is why a number is resolved rather than trusted. And the height includes the stud: a brick is three plates of body and half a plate of stud. The library builder records the body and the stud separately, which is the convention the application's own size table already follows.</w:t>
      </w:r>
    </w:p>
    <w:p>
      <w:pPr>
        <w:keepNext/>
        <w:keepLines/>
        <w:spacing w:before="240" w:after="60"/>
      </w:pPr>
      <w:r>
        <w:rPr>
          <w:rFonts w:ascii="Times New Roman" w:hAnsi="Times New Roman"/>
          <w:b/>
          <w:color w:val="000000"/>
          <w:sz w:val="22"/>
          <w:szCs w:val="22"/>
        </w:rPr>
        <w:t xml:space="preserve">The Library File</w:t>
      </w:r>
    </w:p>
    <w:p>
      <w:pPr>
        <w:spacing w:before="0" w:after="60"/>
      </w:pPr>
      <w:r>
        <w:rPr>
          <w:rFonts w:ascii="Times New Roman" w:hAnsi="Times New Roman"/>
          <w:color w:val="000000"/>
          <w:sz w:val="22"/>
          <w:szCs w:val="22"/>
        </w:rPr>
        <w:t xml:space="preserve">The list becomes a .parts file: JSON, in the same shape as the .block file the application already writes, so it is readable, comparable in a version history, and needs no new machinery.</w:t>
      </w:r>
    </w:p>
    <w:p>
      <w:pPr>
        <w:ind w:left="360"/>
        <w:spacing w:before="0" w:after="0"/>
      </w:pPr>
      <w:r>
        <w:rPr>
          <w:rFonts w:ascii="Consolas" w:hAnsi="Consolas"/>
          <w:color w:val="000000"/>
          <w:sz w:val="18"/>
          <w:szCs w:val="18"/>
        </w:rPr>
        <w:t xml:space="preserve">{ "sangala": "parts", "version": 1,</w:t>
      </w:r>
    </w:p>
    <w:p>
      <w:pPr>
        <w:ind w:left="360"/>
        <w:spacing w:before="0" w:after="0"/>
      </w:pPr>
      <w:r>
        <w:rPr>
          <w:rFonts w:ascii="Consolas" w:hAnsi="Consolas"/>
          <w:color w:val="000000"/>
          <w:sz w:val="18"/>
          <w:szCs w:val="18"/>
        </w:rPr>
        <w:t xml:space="preserve">  "parts": [ { "id": "3001", "name": "Brick 2 x 4", "kind": "brick",</w:t>
      </w:r>
    </w:p>
    <w:p>
      <w:pPr>
        <w:ind w:left="360"/>
        <w:spacing w:before="0" w:after="0"/>
      </w:pPr>
      <w:r>
        <w:rPr>
          <w:rFonts w:ascii="Consolas" w:hAnsi="Consolas"/>
          <w:color w:val="000000"/>
          <w:sz w:val="18"/>
          <w:szCs w:val="18"/>
        </w:rPr>
        <w:t xml:space="preserve">               "w": 4, "d": 2, "h": 3, "shape": "box",</w:t>
      </w:r>
    </w:p>
    <w:p>
      <w:pPr>
        <w:ind w:left="360"/>
        <w:spacing w:before="0" w:after="0"/>
      </w:pPr>
      <w:r>
        <w:rPr>
          <w:rFonts w:ascii="Consolas" w:hAnsi="Consolas"/>
          <w:color w:val="000000"/>
          <w:sz w:val="18"/>
          <w:szCs w:val="18"/>
        </w:rPr>
        <w:t xml:space="preserve">               "color": "red", "qty": 12 } ] }</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323"/>
        <w:gridCol w:w="694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Where Each Field Comes From</w:t>
            </w:r>
          </w:p>
        </w:tc>
      </w:tr>
      <w:tr>
        <w:trPr>
          <w:tblHeader/>
          <w:jc w:val="center"/>
        </w:trPr>
        <w:tc>
          <w:tcPr>
            <w:tcW w:w="132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Field</w:t>
            </w:r>
          </w:p>
        </w:tc>
        <w:tc>
          <w:tcPr>
            <w:tcW w:w="694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Source</w:t>
            </w:r>
          </w:p>
        </w:tc>
      </w:tr>
      <w:tr>
        <w:trPr>
          <w:jc w:val="center"/>
        </w:trPr>
        <w:tc>
          <w:tcPr>
            <w:tcW w:w="132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id</w:t>
            </w:r>
          </w:p>
        </w:tc>
        <w:tc>
          <w:tcPr>
            <w:tcW w:w="694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design number as submitted, resolved through any redirection</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name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 file's first line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kind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description: brick, plate, slope, inverted slope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 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footprint in studs</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body height in plates, the stud excluded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shape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geometry: box, wedge, round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color</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matched against LDConfig.ldr</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qty</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and absent when no quantity was given</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Every field except colour and quantity comes out of LDraw. The builder does not guess: a line it cannot resolve is reported and left out, so a mistyped number appears as a line to correct rather than as a part that does not exist.</w:t>
      </w:r>
    </w:p>
    <w:p>
      <w:pPr>
        <w:keepNext/>
        <w:keepLines/>
        <w:spacing w:before="240" w:after="60"/>
      </w:pPr>
      <w:r>
        <w:rPr>
          <w:rFonts w:ascii="Times New Roman" w:hAnsi="Times New Roman"/>
          <w:b/>
          <w:color w:val="000000"/>
          <w:sz w:val="22"/>
          <w:szCs w:val="22"/>
        </w:rPr>
        <w:t xml:space="preserve">How a Library Is Imported</w:t>
      </w:r>
    </w:p>
    <w:p>
      <w:pPr>
        <w:spacing w:before="0" w:after="100"/>
      </w:pPr>
      <w:r>
        <w:rPr>
          <w:rFonts w:ascii="Times New Roman" w:hAnsi="Times New Roman"/>
          <w:color w:val="000000"/>
          <w:sz w:val="22"/>
          <w:szCs w:val="22"/>
        </w:rPr>
        <w:t xml:space="preserve">The Open button already routes by file extension — a .model brings in a frame from Sangala Studio and a .block opens a design — so .parts becomes a third case. A library ADDS to the parts menu rather than replacing it, so a student can hold more than one. A design saved afterwards records which library it was built from, so a .block opened on another machine can say what it needs rather than failing silently.</w:t>
      </w:r>
    </w:p>
    <w:p>
      <w:pPr>
        <w:keepNext/>
        <w:keepLines/>
        <w:spacing w:before="240" w:after="60"/>
      </w:pPr>
      <w:r>
        <w:rPr>
          <w:rFonts w:ascii="Times New Roman" w:hAnsi="Times New Roman"/>
          <w:b/>
          <w:color w:val="000000"/>
          <w:sz w:val="22"/>
          <w:szCs w:val="22"/>
        </w:rPr>
        <w:t xml:space="preserve">What Remains to Be Built</w:t>
      </w:r>
    </w:p>
    <w:p>
      <w:pPr>
        <w:spacing w:before="0" w:after="60"/>
      </w:pPr>
      <w:r>
        <w:rPr>
          <w:rFonts w:ascii="Times New Roman" w:hAnsi="Times New Roman"/>
          <w:color w:val="000000"/>
          <w:sz w:val="22"/>
          <w:szCs w:val="22"/>
        </w:rPr>
        <w:t xml:space="preserve">Two pieces, neither of them large.</w:t>
      </w:r>
    </w:p>
    <w:p>
      <w:pPr>
        <w:numPr>
          <w:ilvl w:val="0"/>
          <w:numId w:val="1"/>
        </w:numPr>
        <w:ind w:left="720" w:hanging="360"/>
        <w:spacing w:before="0" w:after="60"/>
      </w:pPr>
      <w:r>
        <w:rPr>
          <w:rFonts w:ascii="Times New Roman" w:hAnsi="Times New Roman"/>
          <w:color w:val="000000"/>
          <w:sz w:val="22"/>
          <w:szCs w:val="22"/>
        </w:rPr>
        <w:t xml:space="preserve">tools\parts_library.py, a companion to ldparts.py, which reads the submitted list and writes the .parts file, reporting whatever it could not resolve.</w:t>
      </w:r>
    </w:p>
    <w:p>
      <w:pPr>
        <w:numPr>
          <w:ilvl w:val="0"/>
          <w:numId w:val="1"/>
        </w:numPr>
        <w:ind w:left="720" w:hanging="360"/>
        <w:spacing w:before="0" w:after="60"/>
      </w:pPr>
      <w:r>
        <w:rPr>
          <w:rFonts w:ascii="Times New Roman" w:hAnsi="Times New Roman"/>
          <w:color w:val="000000"/>
          <w:sz w:val="22"/>
          <w:szCs w:val="22"/>
        </w:rPr>
        <w:t xml:space="preserve">The import itself in SangalaBlockDesigner.html: the extension added to the Open button's accept list, and the parts menu extended from the loaded library.</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