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keepNext/>
        <w:keepLines/>
        <w:spacing w:before="0" w:after="60"/>
        <w:jc w:val="center"/>
      </w:pPr>
      <w:r>
        <w:rPr>
          <w:rFonts w:ascii="Times New Roman" w:hAnsi="Times New Roman"/>
          <w:b/>
          <w:sz w:val="32"/>
          <w:szCs w:val="32"/>
        </w:rPr>
        <w:t xml:space="preserve">Build Sheet — The LEGO Crane Figure</w:t>
      </w:r>
    </w:p>
    <w:p>
      <w:pPr>
        <w:keepNext/>
        <w:keepLines/>
        <w:spacing w:before="0" w:after="240"/>
        <w:jc w:val="center"/>
      </w:pPr>
      <w:r>
        <w:rPr>
          <w:rFonts w:ascii="Times New Roman" w:hAnsi="Times New Roman"/>
          <w:i/>
          <w:sz w:val="22"/>
          <w:szCs w:val="22"/>
        </w:rPr>
        <w:t xml:space="preserve">Eight parts · read from a photograph of the finished figure</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1050"/>
        <w:gridCol w:w="1250"/>
        <w:gridCol w:w="1450"/>
        <w:gridCol w:w="1250"/>
        <w:gridCol w:w="2960"/>
        <w:gridCol w:w="1400"/>
      </w:tblGrid>
      <w:tr>
        <w:trPr>
          <w:cantSplit/>
          <w:tblHeader/>
        </w:trPr>
        <w:tc>
          <w:tcPr>
            <w:tcW w:w="9360" w:type="dxa"/>
            <w:gridSpan w:val="6"/>
            <w:vAlign w:val="top"/>
          </w:tcPr>
          <w:p>
            <w:pPr>
              <w:spacing w:before="60" w:after="40"/>
            </w:pPr>
            <w:r>
              <w:rPr>
                <w:rFonts w:ascii="Arial" w:hAnsi="Arial"/>
                <w:b/>
                <w:sz w:val="20"/>
                <w:szCs w:val="20"/>
              </w:rPr>
              <w:t xml:space="preserve">Table 1. Parts of the finished LEGO crane, read from the photograph.</w:t>
            </w:r>
          </w:p>
        </w:tc>
      </w:tr>
      <w:tr>
        <w:trPr>
          <w:cantSplit/>
          <w:tblHeader/>
        </w:trPr>
        <w:tc>
          <w:tcPr>
            <w:tcW w:w="1050" w:type="dxa"/>
            <w:tcBorders>
              <w:bottom w:val="double" w:sz="4" w:space="0" w:color="000000"/>
            </w:tcBorders>
            <w:vAlign w:val="top"/>
          </w:tcPr>
          <w:p>
            <w:pPr>
              <w:spacing w:before="60" w:after="40"/>
              <w:jc w:val="center"/>
            </w:pPr>
            <w:r>
              <w:rPr>
                <w:rFonts w:ascii="Arial" w:hAnsi="Arial"/>
                <w:i/>
                <w:sz w:val="20"/>
                <w:szCs w:val="20"/>
              </w:rPr>
              <w:t xml:space="preserve">Part</w:t>
            </w:r>
          </w:p>
        </w:tc>
        <w:tc>
          <w:tcPr>
            <w:tcW w:w="1250" w:type="dxa"/>
            <w:tcBorders>
              <w:bottom w:val="double" w:sz="4" w:space="0" w:color="000000"/>
            </w:tcBorders>
            <w:vAlign w:val="top"/>
          </w:tcPr>
          <w:p>
            <w:pPr>
              <w:spacing w:before="60" w:after="40"/>
              <w:jc w:val="center"/>
            </w:pPr>
            <w:r>
              <w:rPr>
                <w:rFonts w:ascii="Arial" w:hAnsi="Arial"/>
                <w:i/>
                <w:sz w:val="20"/>
                <w:szCs w:val="20"/>
              </w:rPr>
              <w:t xml:space="preserve">Color</w:t>
            </w:r>
          </w:p>
        </w:tc>
        <w:tc>
          <w:tcPr>
            <w:tcW w:w="1450" w:type="dxa"/>
            <w:tcBorders>
              <w:bottom w:val="double" w:sz="4" w:space="0" w:color="000000"/>
            </w:tcBorders>
            <w:vAlign w:val="top"/>
          </w:tcPr>
          <w:p>
            <w:pPr>
              <w:spacing w:before="60" w:after="40"/>
              <w:jc w:val="center"/>
            </w:pPr>
            <w:r>
              <w:rPr>
                <w:rFonts w:ascii="Arial" w:hAnsi="Arial"/>
                <w:i/>
                <w:sz w:val="20"/>
                <w:szCs w:val="20"/>
              </w:rPr>
              <w:t xml:space="preserve">Footprint (studs)</w:t>
            </w:r>
          </w:p>
        </w:tc>
        <w:tc>
          <w:tcPr>
            <w:tcW w:w="1250" w:type="dxa"/>
            <w:tcBorders>
              <w:bottom w:val="double" w:sz="4" w:space="0" w:color="000000"/>
            </w:tcBorders>
            <w:vAlign w:val="top"/>
          </w:tcPr>
          <w:p>
            <w:pPr>
              <w:spacing w:before="60" w:after="40"/>
              <w:jc w:val="center"/>
            </w:pPr>
            <w:r>
              <w:rPr>
                <w:rFonts w:ascii="Arial" w:hAnsi="Arial"/>
                <w:i/>
                <w:sz w:val="20"/>
                <w:szCs w:val="20"/>
              </w:rPr>
              <w:t xml:space="preserve">Height</w:t>
            </w:r>
          </w:p>
        </w:tc>
        <w:tc>
          <w:tcPr>
            <w:tcW w:w="2960" w:type="dxa"/>
            <w:tcBorders>
              <w:bottom w:val="double" w:sz="4" w:space="0" w:color="000000"/>
            </w:tcBorders>
            <w:vAlign w:val="top"/>
          </w:tcPr>
          <w:p>
            <w:pPr>
              <w:spacing w:before="60" w:after="40"/>
              <w:jc w:val="center"/>
            </w:pPr>
            <w:r>
              <w:rPr>
                <w:rFonts w:ascii="Arial" w:hAnsi="Arial"/>
                <w:i/>
                <w:sz w:val="20"/>
                <w:szCs w:val="20"/>
              </w:rPr>
              <w:t xml:space="preserve">What it appears to be</w:t>
            </w:r>
          </w:p>
        </w:tc>
        <w:tc>
          <w:tcPr>
            <w:tcW w:w="1400" w:type="dxa"/>
            <w:tcBorders>
              <w:bottom w:val="double" w:sz="4" w:space="0" w:color="000000"/>
            </w:tcBorders>
            <w:vAlign w:val="top"/>
          </w:tcPr>
          <w:p>
            <w:pPr>
              <w:spacing w:before="60" w:after="40"/>
              <w:jc w:val="center"/>
            </w:pPr>
            <w:r>
              <w:rPr>
                <w:rFonts w:ascii="Arial" w:hAnsi="Arial"/>
                <w:i/>
                <w:sz w:val="20"/>
                <w:szCs w:val="20"/>
              </w:rPr>
              <w:t xml:space="preserve">How well it reads</w:t>
            </w:r>
          </w:p>
        </w:tc>
      </w:tr>
      <w:tr>
        <w:trPr>
          <w:cantSplit/>
        </w:trPr>
        <w:tc>
          <w:tcPr>
            <w:tcW w:w="1050" w:type="dxa"/>
            <w:vAlign w:val="top"/>
          </w:tcPr>
          <w:p>
            <w:pPr>
              <w:spacing w:before="60" w:after="40"/>
            </w:pPr>
            <w:r>
              <w:rPr>
                <w:rFonts w:ascii="Arial" w:hAnsi="Arial"/>
                <w:b/>
                <w:sz w:val="20"/>
                <w:szCs w:val="20"/>
              </w:rPr>
              <w:t xml:space="preserve">Baseplate</w:t>
            </w:r>
          </w:p>
        </w:tc>
        <w:tc>
          <w:tcPr>
            <w:tcW w:w="1250" w:type="dxa"/>
            <w:vAlign w:val="top"/>
          </w:tcPr>
          <w:p>
            <w:pPr>
              <w:spacing w:before="60" w:after="40"/>
            </w:pPr>
            <w:r>
              <w:rPr>
                <w:rFonts w:ascii="Arial" w:hAnsi="Arial"/>
                <w:sz w:val="20"/>
                <w:szCs w:val="20"/>
              </w:rPr>
              <w:t xml:space="preserve">Green</w:t>
            </w:r>
          </w:p>
        </w:tc>
        <w:tc>
          <w:tcPr>
            <w:tcW w:w="1450" w:type="dxa"/>
            <w:vAlign w:val="top"/>
          </w:tcPr>
          <w:p>
            <w:pPr>
              <w:spacing w:before="60" w:after="40"/>
              <w:jc w:val="center"/>
            </w:pPr>
            <w:r>
              <w:rPr>
                <w:rFonts w:ascii="Arial" w:hAnsi="Arial"/>
                <w:sz w:val="20"/>
                <w:szCs w:val="20"/>
              </w:rPr>
              <w:t xml:space="preserve">about 16 × 8</w:t>
            </w:r>
          </w:p>
        </w:tc>
        <w:tc>
          <w:tcPr>
            <w:tcW w:w="1250" w:type="dxa"/>
            <w:vAlign w:val="top"/>
          </w:tcPr>
          <w:p>
            <w:pPr>
              <w:spacing w:before="60" w:after="40"/>
              <w:jc w:val="center"/>
            </w:pPr>
            <w:r>
              <w:rPr>
                <w:rFonts w:ascii="Arial" w:hAnsi="Arial"/>
                <w:sz w:val="20"/>
                <w:szCs w:val="20"/>
              </w:rPr>
              <w:t xml:space="preserve">1 plate</w:t>
            </w:r>
          </w:p>
        </w:tc>
        <w:tc>
          <w:tcPr>
            <w:tcW w:w="2960" w:type="dxa"/>
            <w:vAlign w:val="top"/>
          </w:tcPr>
          <w:p>
            <w:pPr>
              <w:spacing w:before="60" w:after="40"/>
            </w:pPr>
            <w:r>
              <w:rPr>
                <w:rFonts w:ascii="Arial" w:hAnsi="Arial"/>
                <w:sz w:val="20"/>
                <w:szCs w:val="20"/>
              </w:rPr>
              <w:t xml:space="preserve">One green baseplate.</w:t>
            </w:r>
          </w:p>
        </w:tc>
        <w:tc>
          <w:tcPr>
            <w:tcW w:w="1400" w:type="dxa"/>
            <w:vAlign w:val="top"/>
          </w:tcPr>
          <w:p>
            <w:pPr>
              <w:spacing w:before="60" w:after="40"/>
              <w:jc w:val="center"/>
            </w:pPr>
            <w:r>
              <w:rPr>
                <w:rFonts w:ascii="Arial" w:hAnsi="Arial"/>
                <w:sz w:val="20"/>
                <w:szCs w:val="20"/>
              </w:rPr>
              <w:t xml:space="preserve">Clear</w:t>
            </w:r>
          </w:p>
        </w:tc>
      </w:tr>
      <w:tr>
        <w:trPr>
          <w:cantSplit/>
        </w:trPr>
        <w:tc>
          <w:tcPr>
            <w:tcW w:w="1050" w:type="dxa"/>
            <w:vAlign w:val="top"/>
          </w:tcPr>
          <w:p>
            <w:pPr>
              <w:spacing w:before="60" w:after="40"/>
            </w:pPr>
            <w:r>
              <w:rPr>
                <w:rFonts w:ascii="Arial" w:hAnsi="Arial"/>
                <w:b/>
                <w:sz w:val="20"/>
                <w:szCs w:val="20"/>
              </w:rPr>
              <w:t xml:space="preserve">Legs</w:t>
            </w:r>
          </w:p>
        </w:tc>
        <w:tc>
          <w:tcPr>
            <w:tcW w:w="1250" w:type="dxa"/>
            <w:vAlign w:val="top"/>
          </w:tcPr>
          <w:p>
            <w:pPr>
              <w:spacing w:before="60" w:after="40"/>
            </w:pPr>
            <w:r>
              <w:rPr>
                <w:rFonts w:ascii="Arial" w:hAnsi="Arial"/>
                <w:sz w:val="20"/>
                <w:szCs w:val="20"/>
              </w:rPr>
              <w:t xml:space="preserve">Black</w:t>
            </w:r>
          </w:p>
        </w:tc>
        <w:tc>
          <w:tcPr>
            <w:tcW w:w="1450" w:type="dxa"/>
            <w:vAlign w:val="top"/>
          </w:tcPr>
          <w:p>
            <w:pPr>
              <w:spacing w:before="60" w:after="40"/>
              <w:jc w:val="center"/>
            </w:pPr>
            <w:r>
              <w:rPr>
                <w:rFonts w:ascii="Arial" w:hAnsi="Arial"/>
                <w:sz w:val="20"/>
                <w:szCs w:val="20"/>
              </w:rPr>
              <w:t xml:space="preserve">two, 1 × 1 each,</w:t>
            </w:r>
            <w:r>
              <w:rPr>
                <w:rFonts w:ascii="Arial" w:hAnsi="Arial"/>
                <w:sz w:val="20"/>
                <w:szCs w:val="20"/>
              </w:rPr>
              <w:br/>
              <w:t xml:space="preserve">about 3 apart</w:t>
            </w:r>
          </w:p>
        </w:tc>
        <w:tc>
          <w:tcPr>
            <w:tcW w:w="1250" w:type="dxa"/>
            <w:vAlign w:val="top"/>
          </w:tcPr>
          <w:p>
            <w:pPr>
              <w:spacing w:before="60" w:after="40"/>
              <w:jc w:val="center"/>
            </w:pPr>
            <w:r>
              <w:rPr>
                <w:rFonts w:ascii="Arial" w:hAnsi="Arial"/>
                <w:sz w:val="20"/>
                <w:szCs w:val="20"/>
              </w:rPr>
              <w:t xml:space="preserve">about 3 bricks</w:t>
            </w:r>
          </w:p>
        </w:tc>
        <w:tc>
          <w:tcPr>
            <w:tcW w:w="2960" w:type="dxa"/>
            <w:vAlign w:val="top"/>
          </w:tcPr>
          <w:p>
            <w:pPr>
              <w:spacing w:before="60" w:after="40"/>
            </w:pPr>
            <w:r>
              <w:rPr>
                <w:rFonts w:ascii="Arial" w:hAnsi="Arial"/>
                <w:sz w:val="20"/>
                <w:szCs w:val="20"/>
              </w:rPr>
              <w:t xml:space="preserve">Two thin black columns — 1 × 1 bricks stacked, or one tall 1 × 1 column each.</w:t>
            </w:r>
          </w:p>
        </w:tc>
        <w:tc>
          <w:tcPr>
            <w:tcW w:w="1400" w:type="dxa"/>
            <w:vAlign w:val="top"/>
          </w:tcPr>
          <w:p>
            <w:pPr>
              <w:spacing w:before="60" w:after="40"/>
              <w:jc w:val="center"/>
            </w:pPr>
            <w:r>
              <w:rPr>
                <w:rFonts w:ascii="Arial" w:hAnsi="Arial"/>
                <w:sz w:val="20"/>
                <w:szCs w:val="20"/>
              </w:rPr>
              <w:t xml:space="preserve">Clear</w:t>
            </w:r>
          </w:p>
        </w:tc>
      </w:tr>
      <w:tr>
        <w:trPr>
          <w:cantSplit/>
        </w:trPr>
        <w:tc>
          <w:tcPr>
            <w:tcW w:w="1050" w:type="dxa"/>
            <w:vAlign w:val="top"/>
          </w:tcPr>
          <w:p>
            <w:pPr>
              <w:spacing w:before="60" w:after="40"/>
            </w:pPr>
            <w:r>
              <w:rPr>
                <w:rFonts w:ascii="Arial" w:hAnsi="Arial"/>
                <w:b/>
                <w:sz w:val="20"/>
                <w:szCs w:val="20"/>
              </w:rPr>
              <w:t xml:space="preserve">Body</w:t>
            </w:r>
          </w:p>
        </w:tc>
        <w:tc>
          <w:tcPr>
            <w:tcW w:w="1250" w:type="dxa"/>
            <w:vAlign w:val="top"/>
          </w:tcPr>
          <w:p>
            <w:pPr>
              <w:spacing w:before="60" w:after="40"/>
            </w:pPr>
            <w:r>
              <w:rPr>
                <w:rFonts w:ascii="Arial" w:hAnsi="Arial"/>
                <w:sz w:val="20"/>
                <w:szCs w:val="20"/>
              </w:rPr>
              <w:t xml:space="preserve">White</w:t>
            </w:r>
          </w:p>
        </w:tc>
        <w:tc>
          <w:tcPr>
            <w:tcW w:w="1450" w:type="dxa"/>
            <w:vAlign w:val="top"/>
          </w:tcPr>
          <w:p>
            <w:pPr>
              <w:spacing w:before="60" w:after="40"/>
              <w:jc w:val="center"/>
            </w:pPr>
            <w:r>
              <w:rPr>
                <w:rFonts w:ascii="Arial" w:hAnsi="Arial"/>
                <w:sz w:val="20"/>
                <w:szCs w:val="20"/>
              </w:rPr>
              <w:t xml:space="preserve">about 6 × 3</w:t>
            </w:r>
          </w:p>
        </w:tc>
        <w:tc>
          <w:tcPr>
            <w:tcW w:w="1250" w:type="dxa"/>
            <w:vAlign w:val="top"/>
          </w:tcPr>
          <w:p>
            <w:pPr>
              <w:spacing w:before="60" w:after="40"/>
              <w:jc w:val="center"/>
            </w:pPr>
            <w:r>
              <w:rPr>
                <w:rFonts w:ascii="Arial" w:hAnsi="Arial"/>
                <w:sz w:val="20"/>
                <w:szCs w:val="20"/>
              </w:rPr>
              <w:t xml:space="preserve">about 3 bricks</w:t>
            </w:r>
          </w:p>
        </w:tc>
        <w:tc>
          <w:tcPr>
            <w:tcW w:w="2960" w:type="dxa"/>
            <w:vAlign w:val="top"/>
          </w:tcPr>
          <w:p>
            <w:pPr>
              <w:spacing w:before="60" w:after="40"/>
            </w:pPr>
            <w:r>
              <w:rPr>
                <w:rFonts w:ascii="Arial" w:hAnsi="Arial"/>
                <w:sz w:val="20"/>
                <w:szCs w:val="20"/>
              </w:rPr>
              <w:t xml:space="preserve">Slope and wedge bricks over a plate core, tapering to a point at the tail.</w:t>
            </w:r>
          </w:p>
        </w:tc>
        <w:tc>
          <w:tcPr>
            <w:tcW w:w="1400" w:type="dxa"/>
            <w:vAlign w:val="top"/>
          </w:tcPr>
          <w:p>
            <w:pPr>
              <w:spacing w:before="60" w:after="40"/>
              <w:jc w:val="center"/>
            </w:pPr>
            <w:r>
              <w:rPr>
                <w:rFonts w:ascii="Arial" w:hAnsi="Arial"/>
                <w:sz w:val="20"/>
                <w:szCs w:val="20"/>
              </w:rPr>
              <w:t xml:space="preserve">Front clear;</w:t>
            </w:r>
            <w:r>
              <w:rPr>
                <w:rFonts w:ascii="Arial" w:hAnsi="Arial"/>
                <w:sz w:val="20"/>
                <w:szCs w:val="20"/>
              </w:rPr>
              <w:br/>
              <w:t xml:space="preserve">back inferred</w:t>
            </w:r>
          </w:p>
        </w:tc>
      </w:tr>
      <w:tr>
        <w:trPr>
          <w:cantSplit/>
        </w:trPr>
        <w:tc>
          <w:tcPr>
            <w:tcW w:w="1050" w:type="dxa"/>
            <w:vAlign w:val="top"/>
          </w:tcPr>
          <w:p>
            <w:pPr>
              <w:spacing w:before="60" w:after="40"/>
            </w:pPr>
            <w:r>
              <w:rPr>
                <w:rFonts w:ascii="Arial" w:hAnsi="Arial"/>
                <w:b/>
                <w:sz w:val="20"/>
                <w:szCs w:val="20"/>
              </w:rPr>
              <w:t xml:space="preserve">Wing</w:t>
            </w:r>
          </w:p>
        </w:tc>
        <w:tc>
          <w:tcPr>
            <w:tcW w:w="1250" w:type="dxa"/>
            <w:vAlign w:val="top"/>
          </w:tcPr>
          <w:p>
            <w:pPr>
              <w:spacing w:before="60" w:after="40"/>
            </w:pPr>
            <w:r>
              <w:rPr>
                <w:rFonts w:ascii="Arial" w:hAnsi="Arial"/>
                <w:sz w:val="20"/>
                <w:szCs w:val="20"/>
              </w:rPr>
              <w:t xml:space="preserve">Light Gray</w:t>
            </w:r>
          </w:p>
        </w:tc>
        <w:tc>
          <w:tcPr>
            <w:tcW w:w="1450" w:type="dxa"/>
            <w:vAlign w:val="top"/>
          </w:tcPr>
          <w:p>
            <w:pPr>
              <w:spacing w:before="60" w:after="40"/>
              <w:jc w:val="center"/>
            </w:pPr>
            <w:r>
              <w:rPr>
                <w:rFonts w:ascii="Arial" w:hAnsi="Arial"/>
                <w:sz w:val="20"/>
                <w:szCs w:val="20"/>
              </w:rPr>
              <w:t xml:space="preserve">about 3 × 2</w:t>
            </w:r>
          </w:p>
        </w:tc>
        <w:tc>
          <w:tcPr>
            <w:tcW w:w="1250" w:type="dxa"/>
            <w:vAlign w:val="top"/>
          </w:tcPr>
          <w:p>
            <w:pPr>
              <w:spacing w:before="60" w:after="40"/>
              <w:jc w:val="center"/>
            </w:pPr>
            <w:r>
              <w:rPr>
                <w:rFonts w:ascii="Arial" w:hAnsi="Arial"/>
                <w:sz w:val="20"/>
                <w:szCs w:val="20"/>
              </w:rPr>
              <w:t xml:space="preserve">1 plate</w:t>
            </w:r>
          </w:p>
        </w:tc>
        <w:tc>
          <w:tcPr>
            <w:tcW w:w="2960" w:type="dxa"/>
            <w:vAlign w:val="top"/>
          </w:tcPr>
          <w:p>
            <w:pPr>
              <w:spacing w:before="60" w:after="40"/>
            </w:pPr>
            <w:r>
              <w:rPr>
                <w:rFonts w:ascii="Arial" w:hAnsi="Arial"/>
                <w:sz w:val="20"/>
                <w:szCs w:val="20"/>
              </w:rPr>
              <w:t xml:space="preserve">A wedge plate laid flat against the side of the body.</w:t>
            </w:r>
          </w:p>
        </w:tc>
        <w:tc>
          <w:tcPr>
            <w:tcW w:w="1400" w:type="dxa"/>
            <w:vAlign w:val="top"/>
          </w:tcPr>
          <w:p>
            <w:pPr>
              <w:spacing w:before="60" w:after="40"/>
              <w:jc w:val="center"/>
            </w:pPr>
            <w:r>
              <w:rPr>
                <w:rFonts w:ascii="Arial" w:hAnsi="Arial"/>
                <w:sz w:val="20"/>
                <w:szCs w:val="20"/>
              </w:rPr>
              <w:t xml:space="preserve">Near wing only;</w:t>
            </w:r>
            <w:r>
              <w:rPr>
                <w:rFonts w:ascii="Arial" w:hAnsi="Arial"/>
                <w:sz w:val="20"/>
                <w:szCs w:val="20"/>
              </w:rPr>
              <w:br/>
              <w:t xml:space="preserve">far wing hidden</w:t>
            </w:r>
          </w:p>
        </w:tc>
      </w:tr>
      <w:tr>
        <w:trPr>
          <w:cantSplit/>
        </w:trPr>
        <w:tc>
          <w:tcPr>
            <w:tcW w:w="1050" w:type="dxa"/>
            <w:vAlign w:val="top"/>
          </w:tcPr>
          <w:p>
            <w:pPr>
              <w:spacing w:before="60" w:after="40"/>
            </w:pPr>
            <w:r>
              <w:rPr>
                <w:rFonts w:ascii="Arial" w:hAnsi="Arial"/>
                <w:b/>
                <w:sz w:val="20"/>
                <w:szCs w:val="20"/>
              </w:rPr>
              <w:t xml:space="preserve">Neck</w:t>
            </w:r>
          </w:p>
        </w:tc>
        <w:tc>
          <w:tcPr>
            <w:tcW w:w="1250" w:type="dxa"/>
            <w:vAlign w:val="top"/>
          </w:tcPr>
          <w:p>
            <w:pPr>
              <w:spacing w:before="60" w:after="40"/>
            </w:pPr>
            <w:r>
              <w:rPr>
                <w:rFonts w:ascii="Arial" w:hAnsi="Arial"/>
                <w:sz w:val="20"/>
                <w:szCs w:val="20"/>
              </w:rPr>
              <w:t xml:space="preserve">Light Gray</w:t>
            </w:r>
          </w:p>
        </w:tc>
        <w:tc>
          <w:tcPr>
            <w:tcW w:w="1450" w:type="dxa"/>
            <w:vAlign w:val="top"/>
          </w:tcPr>
          <w:p>
            <w:pPr>
              <w:spacing w:before="60" w:after="40"/>
              <w:jc w:val="center"/>
            </w:pPr>
            <w:r>
              <w:rPr>
                <w:rFonts w:ascii="Arial" w:hAnsi="Arial"/>
                <w:sz w:val="20"/>
                <w:szCs w:val="20"/>
              </w:rPr>
              <w:t xml:space="preserve">1 × 1</w:t>
            </w:r>
          </w:p>
        </w:tc>
        <w:tc>
          <w:tcPr>
            <w:tcW w:w="1250" w:type="dxa"/>
            <w:vAlign w:val="top"/>
          </w:tcPr>
          <w:p>
            <w:pPr>
              <w:spacing w:before="60" w:after="40"/>
              <w:jc w:val="center"/>
            </w:pPr>
            <w:r>
              <w:rPr>
                <w:rFonts w:ascii="Arial" w:hAnsi="Arial"/>
                <w:sz w:val="20"/>
                <w:szCs w:val="20"/>
              </w:rPr>
              <w:t xml:space="preserve">about 6 bricks</w:t>
            </w:r>
          </w:p>
        </w:tc>
        <w:tc>
          <w:tcPr>
            <w:tcW w:w="2960" w:type="dxa"/>
            <w:vAlign w:val="top"/>
          </w:tcPr>
          <w:p>
            <w:pPr>
              <w:spacing w:before="60" w:after="40"/>
            </w:pPr>
            <w:r>
              <w:rPr>
                <w:rFonts w:ascii="Arial" w:hAnsi="Arial"/>
                <w:sz w:val="20"/>
                <w:szCs w:val="20"/>
              </w:rPr>
              <w:t xml:space="preserve">A single tall column, or 1 × 1 bricks stacked.</w:t>
            </w:r>
          </w:p>
        </w:tc>
        <w:tc>
          <w:tcPr>
            <w:tcW w:w="1400" w:type="dxa"/>
            <w:vAlign w:val="top"/>
          </w:tcPr>
          <w:p>
            <w:pPr>
              <w:spacing w:before="60" w:after="40"/>
              <w:jc w:val="center"/>
            </w:pPr>
            <w:r>
              <w:rPr>
                <w:rFonts w:ascii="Arial" w:hAnsi="Arial"/>
                <w:sz w:val="20"/>
                <w:szCs w:val="20"/>
              </w:rPr>
              <w:t xml:space="preserve">Clear</w:t>
            </w:r>
          </w:p>
        </w:tc>
      </w:tr>
      <w:tr>
        <w:trPr>
          <w:cantSplit/>
        </w:trPr>
        <w:tc>
          <w:tcPr>
            <w:tcW w:w="1050" w:type="dxa"/>
            <w:vAlign w:val="top"/>
          </w:tcPr>
          <w:p>
            <w:pPr>
              <w:spacing w:before="60" w:after="40"/>
            </w:pPr>
            <w:r>
              <w:rPr>
                <w:rFonts w:ascii="Arial" w:hAnsi="Arial"/>
                <w:b/>
                <w:sz w:val="20"/>
                <w:szCs w:val="20"/>
              </w:rPr>
              <w:t xml:space="preserve">Head</w:t>
            </w:r>
          </w:p>
        </w:tc>
        <w:tc>
          <w:tcPr>
            <w:tcW w:w="1250" w:type="dxa"/>
            <w:vAlign w:val="top"/>
          </w:tcPr>
          <w:p>
            <w:pPr>
              <w:spacing w:before="60" w:after="40"/>
            </w:pPr>
            <w:r>
              <w:rPr>
                <w:rFonts w:ascii="Arial" w:hAnsi="Arial"/>
                <w:sz w:val="20"/>
                <w:szCs w:val="20"/>
              </w:rPr>
              <w:t xml:space="preserve">Black</w:t>
            </w:r>
          </w:p>
        </w:tc>
        <w:tc>
          <w:tcPr>
            <w:tcW w:w="1450" w:type="dxa"/>
            <w:vAlign w:val="top"/>
          </w:tcPr>
          <w:p>
            <w:pPr>
              <w:spacing w:before="60" w:after="40"/>
              <w:jc w:val="center"/>
            </w:pPr>
            <w:r>
              <w:rPr>
                <w:rFonts w:ascii="Arial" w:hAnsi="Arial"/>
                <w:sz w:val="20"/>
                <w:szCs w:val="20"/>
              </w:rPr>
              <w:t xml:space="preserve">about 2 × 2</w:t>
            </w:r>
          </w:p>
        </w:tc>
        <w:tc>
          <w:tcPr>
            <w:tcW w:w="1250" w:type="dxa"/>
            <w:vAlign w:val="top"/>
          </w:tcPr>
          <w:p>
            <w:pPr>
              <w:spacing w:before="60" w:after="40"/>
              <w:jc w:val="center"/>
            </w:pPr>
            <w:r>
              <w:rPr>
                <w:rFonts w:ascii="Arial" w:hAnsi="Arial"/>
                <w:sz w:val="20"/>
                <w:szCs w:val="20"/>
              </w:rPr>
              <w:t xml:space="preserve">about 2 bricks</w:t>
            </w:r>
          </w:p>
        </w:tc>
        <w:tc>
          <w:tcPr>
            <w:tcW w:w="2960" w:type="dxa"/>
            <w:vAlign w:val="top"/>
          </w:tcPr>
          <w:p>
            <w:pPr>
              <w:spacing w:before="60" w:after="40"/>
            </w:pPr>
            <w:r>
              <w:rPr>
                <w:rFonts w:ascii="Arial" w:hAnsi="Arial"/>
                <w:sz w:val="20"/>
                <w:szCs w:val="20"/>
              </w:rPr>
              <w:t xml:space="preserve">Black bricks, with a white round tile set in as the eye.</w:t>
            </w:r>
          </w:p>
        </w:tc>
        <w:tc>
          <w:tcPr>
            <w:tcW w:w="1400" w:type="dxa"/>
            <w:vAlign w:val="top"/>
          </w:tcPr>
          <w:p>
            <w:pPr>
              <w:spacing w:before="60" w:after="40"/>
              <w:jc w:val="center"/>
            </w:pPr>
            <w:r>
              <w:rPr>
                <w:rFonts w:ascii="Arial" w:hAnsi="Arial"/>
                <w:sz w:val="20"/>
                <w:szCs w:val="20"/>
              </w:rPr>
              <w:t xml:space="preserve">Near side clear</w:t>
            </w:r>
          </w:p>
        </w:tc>
      </w:tr>
      <w:tr>
        <w:trPr>
          <w:cantSplit/>
        </w:trPr>
        <w:tc>
          <w:tcPr>
            <w:tcW w:w="1050" w:type="dxa"/>
            <w:vAlign w:val="top"/>
          </w:tcPr>
          <w:p>
            <w:pPr>
              <w:spacing w:before="60" w:after="40"/>
            </w:pPr>
            <w:r>
              <w:rPr>
                <w:rFonts w:ascii="Arial" w:hAnsi="Arial"/>
                <w:b/>
                <w:sz w:val="20"/>
                <w:szCs w:val="20"/>
              </w:rPr>
              <w:t xml:space="preserve">Beak</w:t>
            </w:r>
          </w:p>
        </w:tc>
        <w:tc>
          <w:tcPr>
            <w:tcW w:w="1250" w:type="dxa"/>
            <w:vAlign w:val="top"/>
          </w:tcPr>
          <w:p>
            <w:pPr>
              <w:spacing w:before="60" w:after="40"/>
            </w:pPr>
            <w:r>
              <w:rPr>
                <w:rFonts w:ascii="Arial" w:hAnsi="Arial"/>
                <w:sz w:val="20"/>
                <w:szCs w:val="20"/>
              </w:rPr>
              <w:t xml:space="preserve">Red</w:t>
            </w:r>
          </w:p>
        </w:tc>
        <w:tc>
          <w:tcPr>
            <w:tcW w:w="1450" w:type="dxa"/>
            <w:vAlign w:val="top"/>
          </w:tcPr>
          <w:p>
            <w:pPr>
              <w:spacing w:before="60" w:after="40"/>
              <w:jc w:val="center"/>
            </w:pPr>
            <w:r>
              <w:rPr>
                <w:rFonts w:ascii="Arial" w:hAnsi="Arial"/>
                <w:sz w:val="20"/>
                <w:szCs w:val="20"/>
              </w:rPr>
              <w:t xml:space="preserve">about 2 × 1</w:t>
            </w:r>
          </w:p>
        </w:tc>
        <w:tc>
          <w:tcPr>
            <w:tcW w:w="1250" w:type="dxa"/>
            <w:vAlign w:val="top"/>
          </w:tcPr>
          <w:p>
            <w:pPr>
              <w:spacing w:before="60" w:after="40"/>
              <w:jc w:val="center"/>
            </w:pPr>
            <w:r>
              <w:rPr>
                <w:rFonts w:ascii="Arial" w:hAnsi="Arial"/>
                <w:sz w:val="20"/>
                <w:szCs w:val="20"/>
              </w:rPr>
              <w:t xml:space="preserve">1 brick</w:t>
            </w:r>
          </w:p>
        </w:tc>
        <w:tc>
          <w:tcPr>
            <w:tcW w:w="2960" w:type="dxa"/>
            <w:vAlign w:val="top"/>
          </w:tcPr>
          <w:p>
            <w:pPr>
              <w:spacing w:before="60" w:after="40"/>
            </w:pPr>
            <w:r>
              <w:rPr>
                <w:rFonts w:ascii="Arial" w:hAnsi="Arial"/>
                <w:sz w:val="20"/>
                <w:szCs w:val="20"/>
              </w:rPr>
              <w:t xml:space="preserve">One red wedge, pointing forward from the head.</w:t>
            </w:r>
          </w:p>
        </w:tc>
        <w:tc>
          <w:tcPr>
            <w:tcW w:w="1400" w:type="dxa"/>
            <w:vAlign w:val="top"/>
          </w:tcPr>
          <w:p>
            <w:pPr>
              <w:spacing w:before="60" w:after="40"/>
              <w:jc w:val="center"/>
            </w:pPr>
            <w:r>
              <w:rPr>
                <w:rFonts w:ascii="Arial" w:hAnsi="Arial"/>
                <w:sz w:val="20"/>
                <w:szCs w:val="20"/>
              </w:rPr>
              <w:t xml:space="preserve">Clear</w:t>
            </w:r>
          </w:p>
        </w:tc>
      </w:tr>
      <w:tr>
        <w:trPr>
          <w:cantSplit/>
        </w:trPr>
        <w:tc>
          <w:tcPr>
            <w:tcW w:w="1050" w:type="dxa"/>
            <w:vAlign w:val="top"/>
          </w:tcPr>
          <w:p>
            <w:pPr>
              <w:spacing w:before="60" w:after="40"/>
            </w:pPr>
            <w:r>
              <w:rPr>
                <w:rFonts w:ascii="Arial" w:hAnsi="Arial"/>
                <w:b/>
                <w:sz w:val="20"/>
                <w:szCs w:val="20"/>
              </w:rPr>
              <w:t xml:space="preserve">Crown</w:t>
            </w:r>
          </w:p>
        </w:tc>
        <w:tc>
          <w:tcPr>
            <w:tcW w:w="1250" w:type="dxa"/>
            <w:vAlign w:val="top"/>
          </w:tcPr>
          <w:p>
            <w:pPr>
              <w:spacing w:before="60" w:after="40"/>
            </w:pPr>
            <w:r>
              <w:rPr>
                <w:rFonts w:ascii="Arial" w:hAnsi="Arial"/>
                <w:sz w:val="20"/>
                <w:szCs w:val="20"/>
              </w:rPr>
              <w:t xml:space="preserve">Yellow</w:t>
            </w:r>
          </w:p>
        </w:tc>
        <w:tc>
          <w:tcPr>
            <w:tcW w:w="1450" w:type="dxa"/>
            <w:vAlign w:val="top"/>
          </w:tcPr>
          <w:p>
            <w:pPr>
              <w:spacing w:before="60" w:after="40"/>
              <w:jc w:val="center"/>
            </w:pPr>
            <w:r>
              <w:rPr>
                <w:rFonts w:ascii="Arial" w:hAnsi="Arial"/>
                <w:sz w:val="20"/>
                <w:szCs w:val="20"/>
              </w:rPr>
              <w:t xml:space="preserve">about 4 × 2</w:t>
            </w:r>
          </w:p>
        </w:tc>
        <w:tc>
          <w:tcPr>
            <w:tcW w:w="1250" w:type="dxa"/>
            <w:vAlign w:val="top"/>
          </w:tcPr>
          <w:p>
            <w:pPr>
              <w:spacing w:before="60" w:after="40"/>
              <w:jc w:val="center"/>
            </w:pPr>
            <w:r>
              <w:rPr>
                <w:rFonts w:ascii="Arial" w:hAnsi="Arial"/>
                <w:sz w:val="20"/>
                <w:szCs w:val="20"/>
              </w:rPr>
              <w:t xml:space="preserve">1 brick,</w:t>
            </w:r>
            <w:r>
              <w:rPr>
                <w:rFonts w:ascii="Arial" w:hAnsi="Arial"/>
                <w:sz w:val="20"/>
                <w:szCs w:val="20"/>
              </w:rPr>
              <w:br/>
              <w:t xml:space="preserve">plus prongs</w:t>
            </w:r>
          </w:p>
        </w:tc>
        <w:tc>
          <w:tcPr>
            <w:tcW w:w="2960" w:type="dxa"/>
            <w:vAlign w:val="top"/>
          </w:tcPr>
          <w:p>
            <w:pPr>
              <w:spacing w:before="60" w:after="40"/>
            </w:pPr>
            <w:r>
              <w:rPr>
                <w:rFonts w:ascii="Arial" w:hAnsi="Arial"/>
                <w:sz w:val="20"/>
                <w:szCs w:val="20"/>
              </w:rPr>
              <w:t xml:space="preserve">A yellow plate carrying upright prongs, fanned above the head.</w:t>
            </w:r>
          </w:p>
        </w:tc>
        <w:tc>
          <w:tcPr>
            <w:tcW w:w="1400" w:type="dxa"/>
            <w:vAlign w:val="top"/>
          </w:tcPr>
          <w:p>
            <w:pPr>
              <w:spacing w:before="60" w:after="40"/>
              <w:jc w:val="center"/>
            </w:pPr>
            <w:r>
              <w:rPr>
                <w:rFonts w:ascii="Arial" w:hAnsi="Arial"/>
                <w:sz w:val="20"/>
                <w:szCs w:val="20"/>
              </w:rPr>
              <w:t xml:space="preserve">Clear</w:t>
            </w:r>
          </w:p>
        </w:tc>
      </w:tr>
    </w:tbl>
    <w:p>
      <w:pPr>
        <w:spacing w:before="0" w:after="0"/>
      </w:pPr>
    </w:p>
    <w:p>
      <w:pPr>
        <w:keepNext/>
        <w:keepLines/>
        <w:spacing w:before="0" w:after="60"/>
      </w:pPr>
      <w:r>
        <w:rPr>
          <w:rFonts w:ascii="Times New Roman" w:hAnsi="Times New Roman"/>
          <w:b/>
          <w:sz w:val="24"/>
          <w:szCs w:val="24"/>
        </w:rPr>
        <w:t xml:space="preserve">Where these numbers come from</w:t>
      </w:r>
    </w:p>
    <w:p>
      <w:pPr>
        <w:spacing w:before="0" w:after="100"/>
      </w:pPr>
      <w:r>
        <w:rPr>
          <w:rFonts w:ascii="Times New Roman" w:hAnsi="Times New Roman"/>
          <w:sz w:val="22"/>
          <w:szCs w:val="22"/>
        </w:rPr>
        <w:t xml:space="preserve">Every figure in this table was read off one photograph, taken from one angle. Stud counts on faces that point toward the camera are reliable; depths into the picture are estimates, and the far wing is not visible at all. The last column says which is which. Anyone holding the model can correct the whole sheet in a few minutes, and should.</w:t>
      </w:r>
    </w:p>
    <w:p>
      <w:pPr>
        <w:keepNext/>
        <w:keepLines/>
        <w:spacing w:before="0" w:after="60"/>
      </w:pPr>
      <w:r>
        <w:rPr>
          <w:rFonts w:ascii="Times New Roman" w:hAnsi="Times New Roman"/>
          <w:b/>
          <w:sz w:val="24"/>
          <w:szCs w:val="24"/>
        </w:rPr>
        <w:t xml:space="preserve">What changed between the mosaic and the figure</w:t>
      </w:r>
    </w:p>
    <w:p>
      <w:pPr>
        <w:spacing w:before="0" w:after="100"/>
      </w:pPr>
      <w:r>
        <w:rPr>
          <w:rFonts w:ascii="Times New Roman" w:hAnsi="Times New Roman"/>
          <w:sz w:val="22"/>
          <w:szCs w:val="22"/>
        </w:rPr>
        <w:t xml:space="preserve">Set beside the mosaic's own build sheet, the finished bird is smaller and simpler nearly everywhere. The mosaic's body is 11 studs long; the built body is about 6. The mosaic's legs stand 7 tiles tall; the built legs are about 3 bricks. The mosaic's neck is 2 tiles wide; the built neck is 1 stud. The builder kept the proportions and the stance, and let the sizes fall where the bricks allowed.</w:t>
      </w:r>
    </w:p>
    <w:p>
      <w:pPr>
        <w:spacing w:before="0" w:after="100"/>
      </w:pPr>
      <w:r>
        <w:rPr>
          <w:rFonts w:ascii="Times New Roman" w:hAnsi="Times New Roman"/>
          <w:sz w:val="22"/>
          <w:szCs w:val="22"/>
        </w:rPr>
        <w:t xml:space="preserve">Two parts went the other way and gained detail the mosaic could not hold. The eye is a single round tile, and the beak is one red wedge — shapes with no straight-sided equivalent in an 8 mm grid. The crown became a fan of upright prongs rather than a block of yellow tiles.</w:t>
      </w:r>
    </w:p>
    <w:p>
      <w:pPr>
        <w:spacing w:before="0" w:after="100"/>
      </w:pPr>
      <w:r>
        <w:rPr>
          <w:rFonts w:ascii="Times New Roman" w:hAnsi="Times New Roman"/>
          <w:sz w:val="22"/>
          <w:szCs w:val="22"/>
        </w:rPr>
        <w:t xml:space="preserve">This is the translation itself, and it is worth saying plainly in class: the mosaic fixes what the animal is made of and how its parts sit together. The bricks decide how big each part ends up and what shape it can actually take.</w:t>
      </w:r>
    </w:p>
    <w:sectPr>
      <w:pgSz w:w="12240" w:h="15840"/>
      <w:pgMar w:top="1440" w:right="1440" w:bottom="1440" w:left="1440" w:header="720" w:footer="720" w:gutter="0"/>
    </w:sectPr>
  </w:body>
</w:document>
</file>

<file path=word/styles.xml><?xml version="1.0" encoding="utf-8"?>
<w:styles xmlns:w="http://schemas.openxmlformats.org/wordprocessingml/2006/main" xmlns:r="http://schemas.openxmlformats.org/officeDocument/2006/relationships">
  <w:docDefaults>
    <w:rPrDefault>
      <w:rPr>
        <w:rFonts w:ascii="Times New Roman" w:hAnsi="Times New Roman"/>
        <w:sz w:val="22"/>
        <w:szCs w:val="22"/>
      </w:rPr>
    </w:rPrDefault>
    <w:pPrDefault>
      <w:pPr>
        <w:spacing w:before="100" w:after="100"/>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