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Build the program (once)</w:t>
      </w:r>
    </w:p>
    <w:p w14:paraId="732CC127" w14:textId="08AC8324" w:rsidR="00606734" w:rsidRPr="00606734" w:rsidRDefault="00606734" w:rsidP="008D0E78">
      <w:pPr>
        <w:pStyle w:val="NormalWeb"/>
        <w:spacing w:before="0" w:beforeAutospacing="0" w:after="60" w:afterAutospacing="0"/>
        <w:rPr>
          <w:rFonts w:eastAsia="Times New Roman"/>
        </w:rPr>
      </w:pPr>
      <w:r w:rsidRPr="00606734">
        <w:rPr>
          <w:rFonts w:eastAsia="Times New Roman"/>
        </w:rPr>
        <w:t xml:space="preserve">The repository holds source code, not a finished program: </w:t>
      </w:r>
      <w:r>
        <w:rPr>
          <w:rFonts w:eastAsia="Times New Roman"/>
        </w:rPr>
        <w:t>SangalaStudio.exe</w:t>
      </w:r>
      <w:r w:rsidRPr="00606734">
        <w:rPr>
          <w:rFonts w:eastAsia="Times New Roman"/>
        </w:rPr>
        <w:t xml:space="preserve"> is not in it and must be compiled. That is a single double-click, and it is why the program never arrives as a downloaded executable — nothing has to be trusted, warned about, or approved by an administrator.</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(CCO)</w:t>
      </w:r>
      <w:r w:rsidR="00577892">
        <w:rPr>
          <w:rStyle w:val="Strong"/>
          <w:szCs w:val="22"/>
        </w:rPr>
        <w:t xml:space="preserve"> </w:t>
      </w:r>
      <w:r>
        <w:rPr>
          <w:szCs w:val="22"/>
        </w:rPr>
        <w:t>(public domain). Contributions and any third-party code they bring in must be license-compatible (see §9).</w:t>
      </w:r>
    </w:p>
    <w:p w14:paraId="35957CAC" w14:textId="60DF95F5" w:rsidR="000E2033" w:rsidRPr="00F65B40" w:rsidRDefault="00606734" w:rsidP="008D0E78">
      <w:pPr>
        <w:pStyle w:val="Heading2"/>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rPr>
          <w:rFonts w:eastAsia="Times New Roman"/>
        </w:rPr>
      </w:pPr>
    </w:p>
    <w:p w14:paraId="4E38AB18" w14:textId="77777777" w:rsidR="008D0E78" w:rsidRDefault="008D0E78" w:rsidP="008D0E78">
      <w:pPr>
        <w:pStyle w:val="Heading2"/>
        <w:rPr>
          <w:rFonts w:eastAsia="Times New Roman"/>
        </w:rPr>
      </w:pPr>
    </w:p>
    <w:p w14:paraId="5E23193D" w14:textId="2501B991" w:rsidR="000E2033" w:rsidRPr="00F65B40" w:rsidRDefault="00606734" w:rsidP="008D0E78">
      <w:pPr>
        <w:pStyle w:val="Heading2"/>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14:paraId="478498E5" w14:textId="77777777" w:rsidR="000E2033" w:rsidRDefault="000E2033">
      <w:pPr>
        <w:pStyle w:val="NormalWeb"/>
        <w:rPr>
          <w:szCs w:val="22"/>
        </w:rPr>
      </w:pPr>
      <w:r>
        <w:rPr>
          <w:rStyle w:val="Strong"/>
          <w:szCs w:val="22"/>
        </w:rPr>
        <w:t>Tools.</w:t>
      </w:r>
      <w:r>
        <w:rPr>
          <w:szCs w:val="22"/>
        </w:rPr>
        <w:t xml:space="preserve"> The left palette holds Select, Pen, Nodes, Shapes, Combine, Align, and (only when 3D is enabled) Brick. A tool is wired by three </w:t>
      </w:r>
      <w:proofErr w:type="gramStart"/>
      <w:r>
        <w:rPr>
          <w:szCs w:val="22"/>
        </w:rPr>
        <w:t>touch-points</w:t>
      </w:r>
      <w:proofErr w:type="gramEnd"/>
      <w:r>
        <w:rPr>
          <w:szCs w:val="22"/>
        </w:rPr>
        <w:t xml:space="preserve">: a palette button, a branch in </w:t>
      </w:r>
      <w:proofErr w:type="spellStart"/>
      <w:r>
        <w:rPr>
          <w:rFonts w:ascii="Consolas" w:hAnsi="Consolas"/>
          <w:szCs w:val="22"/>
        </w:rPr>
        <w:t>setTool</w:t>
      </w:r>
      <w:proofErr w:type="spellEnd"/>
      <w:r>
        <w:rPr>
          <w:rFonts w:ascii="Consolas" w:hAnsi="Consolas"/>
          <w:szCs w:val="22"/>
        </w:rPr>
        <w:t>()</w:t>
      </w:r>
      <w:r>
        <w:rPr>
          <w:szCs w:val="22"/>
        </w:rPr>
        <w:t xml:space="preserve"> and in the </w:t>
      </w:r>
      <w:proofErr w:type="spellStart"/>
      <w:r>
        <w:rPr>
          <w:rFonts w:ascii="Consolas" w:hAnsi="Consolas"/>
          <w:szCs w:val="22"/>
        </w:rPr>
        <w:t>mousedown</w:t>
      </w:r>
      <w:proofErr w:type="spellEnd"/>
      <w:r>
        <w:rPr>
          <w:szCs w:val="22"/>
        </w:rPr>
        <w:t xml:space="preserve"> router, and any rendering it needs inside </w:t>
      </w:r>
      <w:r>
        <w:rPr>
          <w:rFonts w:ascii="Consolas" w:hAnsi="Consolas"/>
          <w:szCs w:val="22"/>
        </w:rPr>
        <w:t>draw()</w:t>
      </w:r>
      <w:r>
        <w:rPr>
          <w:szCs w:val="22"/>
        </w:rPr>
        <w:t xml:space="preserve">. Flyout menus (Shapes, Combine, Align) follow one shared pattern. Adding a tool means following that same pattern and producing </w:t>
      </w:r>
      <w:r>
        <w:rPr>
          <w:rFonts w:ascii="Consolas" w:hAnsi="Consolas"/>
          <w:szCs w:val="22"/>
        </w:rPr>
        <w:t>objects</w:t>
      </w:r>
      <w:r>
        <w:rPr>
          <w:szCs w:val="22"/>
        </w:rPr>
        <w:t xml:space="preserve"> in the existing shape — after which everything else (selection, Save, cut classification) works for free.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§9 explains the need for.</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§9.</w:t>
      </w:r>
    </w:p>
    <w:p w14:paraId="6DDAA79A" w14:textId="663CEFE3" w:rsidR="000E2033" w:rsidRPr="00F65B40" w:rsidRDefault="00606734">
      <w:pPr>
        <w:pStyle w:val="Heading2"/>
        <w:rPr>
          <w:rFonts w:eastAsia="Times New Roman"/>
        </w:rPr>
      </w:pPr>
      <w:r>
        <w:rPr>
          <w:rFonts w:eastAsia="Times New Roman"/>
        </w:rPr>
        <w:t>7.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3.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rPr>
          <w:rFonts w:eastAsia="Times New Roman"/>
        </w:rPr>
      </w:pPr>
      <w:r>
        <w:rPr>
          <w:rFonts w:eastAsia="Times New Roman"/>
        </w:rPr>
        <w:t>8.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rPr>
          <w:rFonts w:eastAsia="Times New Roman"/>
        </w:rPr>
      </w:pPr>
      <w:r>
        <w:rPr>
          <w:rFonts w:eastAsia="Times New Roman"/>
        </w:rPr>
        <w:t>9. Hardware and protocol reference</w:t>
      </w:r>
    </w:p>
    <w:p w14:paraId="6E3F04F5" w14:textId="77777777" w:rsidR="000E2033" w:rsidRDefault="000E2033">
      <w:pPr>
        <w:pStyle w:val="NormalWeb"/>
        <w:rPr>
          <w:rStyle w:val="Strong"/>
          <w:szCs w:val="22"/>
        </w:rPr>
      </w:pPr>
      <w:r>
        <w:rPr>
          <w:rStyle w:val="Strong"/>
          <w:szCs w:val="22"/>
        </w:rPr>
        <w:t>The machines.</w:t>
      </w:r>
    </w:p>
    <w:p w14:paraId="411735D3" w14:textId="1D1AF749" w:rsidR="000A1E9E" w:rsidRPr="000A1E9E" w:rsidRDefault="000A1E9E">
      <w:pPr>
        <w:pStyle w:val="NormalWeb"/>
        <w:rPr>
          <w:szCs w:val="22"/>
        </w:rPr>
      </w:pPr>
      <w:r>
        <w:rPr>
          <w:rStyle w:val="Strong"/>
          <w:b w:val="0"/>
          <w:bCs w:val="0"/>
        </w:rPr>
        <w:t>The currently supported die cutter models include the Silhouette Model 3 and Silhouette Model 4 at present. This will eventually be expanded to include the Silhouette Cameo at some point. Longer term, the possibility of supporting the popular Cricket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rPr>
          <w:rFonts w:eastAsia="Times New Roman"/>
        </w:rPr>
      </w:pPr>
      <w:r>
        <w:rPr>
          <w:rFonts w:eastAsia="Times New Roman"/>
        </w:rPr>
        <w:t>10.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rPr>
          <w:rFonts w:eastAsia="Times New Roman"/>
        </w:rPr>
      </w:pPr>
      <w:r>
        <w:rPr>
          <w:rFonts w:eastAsia="Times New Roman"/>
        </w:rPr>
        <w:t>11.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pen trails to Sangala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two blocks: log pen vectors for Sangala and send pen trails to Sangala. Both are JavaScript-function blocks, because no Snap! primitive exposes </w:t>
      </w:r>
      <w:proofErr w:type="spellStart"/>
      <w:r>
        <w:rPr>
          <w:rFonts w:eastAsia="Times New Roman"/>
        </w:rPr>
        <w:t>trailsLogAsPolySVG</w:t>
      </w:r>
      <w:proofErr w:type="spellEnd"/>
      <w:r w:rsidRPr="00E309AF">
        <w:rPr>
          <w:rFonts w:eastAsia="Times New Roman"/>
        </w:rPr>
        <w:t>, so JavaScript extensions must be ticked in Snap!'s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rPr>
          <w:rFonts w:eastAsia="Times New Roman"/>
        </w:rPr>
      </w:pPr>
      <w:r>
        <w:rPr>
          <w:rFonts w:eastAsia="Times New Roman"/>
        </w:rPr>
        <w:t>12.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rPr>
          <w:rFonts w:eastAsia="Times New Roman"/>
        </w:rPr>
      </w:pPr>
      <w:r>
        <w:rPr>
          <w:rFonts w:eastAsia="Times New Roman"/>
        </w:rPr>
        <w:t>13.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rPr>
          <w:rFonts w:eastAsia="Times New Roman"/>
        </w:rPr>
      </w:pPr>
      <w:r>
        <w:rPr>
          <w:rFonts w:eastAsia="Times New Roman"/>
        </w:rPr>
        <w:t>14.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5.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