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overTitle"/>
      </w:pPr>
      <w:r>
        <w:t xml:space="preserve">Sangala Studio Documentation</w:t>
      </w:r>
    </w:p>
    <w:p>
      <w:pPr>
        <w:pStyle w:val="CoverTitle"/>
        <w:spacing w:after="200" w:before="0"/>
      </w:pPr>
      <w:r>
        <w:t xml:space="preserve">Style Guide</w:t>
      </w:r>
    </w:p>
    <w:p>
      <w:pPr>
        <w:pStyle w:val="CoverSub"/>
      </w:pPr>
      <w:r>
        <w:t xml:space="preserve">Style specification for the User Guide and Technical Manual</w:t>
      </w:r>
    </w:p>
    <w:p>
      <w:pPr>
        <w:pStyle w:val="Normal"/>
        <w:spacing w:after="600"/>
        <w:jc w:val="center"/>
      </w:pPr>
      <w:r>
        <w:rPr>
          <w:i/>
          <w:iCs/>
          <w:color w:val="555555"/>
          <w:sz w:val="20"/>
          <w:szCs w:val="20"/>
        </w:rPr>
        <w:t xml:space="preserve">Ver 1.0 — July 20, 2026</w:t>
      </w:r>
    </w:p>
    <w:p>
      <w:pPr>
        <w:pStyle w:val="Heading2Spec"/>
      </w:pPr>
      <w:r>
        <w:t xml:space="preserve">1. Purpose and Scope</w:t>
      </w:r>
    </w:p>
    <w:p>
      <w:pPr>
        <w:pStyle w:val="Normal"/>
        <w:spacing w:after="60" w:before="100"/>
      </w:pPr>
      <w:r>
        <w:rPr>
          <w:sz w:val="22"/>
          <w:szCs w:val="22"/>
        </w:rPr>
        <w:t xml:space="preserve">This guide makes explicit the formatting already used throughout the Sangala Studio User Guide (Ver 4.1) and the process conventions recorded in Documents/README.md, so a future edit — by a person or by an AI assistant working from a different session or tool — can match the existing look without re-deriving it from the document's XML each time.</w:t>
      </w:r>
    </w:p>
    <w:p>
      <w:pPr>
        <w:pStyle w:val="Normal"/>
        <w:spacing w:after="60" w:before="100"/>
      </w:pPr>
      <w:r>
        <w:rPr>
          <w:sz w:val="22"/>
          <w:szCs w:val="22"/>
        </w:rPr>
        <w:t xml:space="preserve">It covers two things: the consistency layer that must match the Design through Making book (voice, terminology, spelling), and the typographic specification particular to these two documents (named styles, spacing, captions, tables). Where the current documents don't yet follow a rule cleanly, that is called out explicitly in Section 7 rather than silently papered over.</w:t>
      </w:r>
    </w:p>
    <w:p>
      <w:pPr>
        <w:pStyle w:val="Normal"/>
        <w:spacing w:after="60" w:before="100"/>
      </w:pPr>
      <w:r>
        <w:rPr>
          <w:sz w:val="22"/>
          <w:szCs w:val="22"/>
        </w:rPr>
        <w:t xml:space="preserve">This file lives beside the User Guide in Documents/ and follows the same versioning convention: copy to the next version number when it changes, and move the superseded version into .Archive/.</w:t>
      </w:r>
    </w:p>
    <w:p>
      <w:pPr>
        <w:pStyle w:val="Heading2Spec"/>
      </w:pPr>
      <w:r>
        <w:t xml:space="preserve">2. Voice and Terminology</w:t>
      </w:r>
    </w:p>
    <w:p>
      <w:pPr>
        <w:pStyle w:val="Normal"/>
        <w:spacing w:after="60" w:before="100"/>
      </w:pPr>
      <w:r>
        <w:rPr>
          <w:sz w:val="22"/>
          <w:szCs w:val="22"/>
        </w:rPr>
        <w:t xml:space="preserve">These rules are non-negotiable — if they drift, the guide and the book read as different products.</w:t>
      </w:r>
    </w:p>
    <w:p>
      <w:pPr>
        <w:pStyle w:val="Normal"/>
        <w:numPr>
          <w:ilvl w:val="0"/>
          <w:numId w:val="2"/>
        </w:numPr>
        <w:spacing w:after="60" w:before="100"/>
      </w:pPr>
      <w:r>
        <w:rPr>
          <w:sz w:val="22"/>
          <w:szCs w:val="22"/>
        </w:rPr>
        <w:t xml:space="preserve">American spelling everywhere: color, center, gray, canceled, behavior, millimeters.</w:t>
      </w:r>
    </w:p>
    <w:p>
      <w:pPr>
        <w:pStyle w:val="Normal"/>
        <w:numPr>
          <w:ilvl w:val="0"/>
          <w:numId w:val="2"/>
        </w:numPr>
        <w:spacing w:after="60" w:before="100"/>
      </w:pPr>
      <w:r>
        <w:rPr>
          <w:sz w:val="22"/>
          <w:szCs w:val="22"/>
        </w:rPr>
        <w:t xml:space="preserve">Always “die cutter” in full — never “cutter” or “cutting.” In a school setting the bare word can read as self-harm.</w:t>
      </w:r>
    </w:p>
    <w:p>
      <w:pPr>
        <w:pStyle w:val="Normal"/>
        <w:numPr>
          <w:ilvl w:val="0"/>
          <w:numId w:val="2"/>
        </w:numPr>
        <w:spacing w:after="60" w:before="100"/>
      </w:pPr>
      <w:r>
        <w:rPr>
          <w:sz w:val="22"/>
          <w:szCs w:val="22"/>
        </w:rPr>
        <w:t xml:space="preserve">“Make It!” for the green button — capital M, capital I, exclamation point. (The current User Guide uses this correctly 6 of 8 times; see Section 7.)</w:t>
      </w:r>
    </w:p>
    <w:p>
      <w:pPr>
        <w:pStyle w:val="Normal"/>
        <w:numPr>
          <w:ilvl w:val="0"/>
          <w:numId w:val="2"/>
        </w:numPr>
        <w:spacing w:after="60" w:before="100"/>
      </w:pPr>
      <w:r>
        <w:rPr>
          <w:sz w:val="22"/>
          <w:szCs w:val="22"/>
        </w:rPr>
        <w:t xml:space="preserve">Product is Sangala Studio; subtitle is “Digital Fabrication Tool” in mixed case when used as the formal subtitle.</w:t>
      </w:r>
    </w:p>
    <w:p>
      <w:pPr>
        <w:pStyle w:val="Normal"/>
        <w:numPr>
          <w:ilvl w:val="0"/>
          <w:numId w:val="2"/>
        </w:numPr>
        <w:spacing w:after="60" w:before="100"/>
      </w:pPr>
      <w:r>
        <w:rPr>
          <w:sz w:val="22"/>
          <w:szCs w:val="22"/>
        </w:rPr>
        <w:t xml:space="preserve">The drag-snap feature is “Snap to Fit,” always set in italics, never bare “Snap” — it collides with the Snap! programming language.</w:t>
      </w:r>
    </w:p>
    <w:p>
      <w:pPr>
        <w:pStyle w:val="Normal"/>
        <w:numPr>
          <w:ilvl w:val="0"/>
          <w:numId w:val="2"/>
        </w:numPr>
        <w:spacing w:after="60" w:before="100"/>
      </w:pPr>
      <w:r>
        <w:rPr>
          <w:sz w:val="22"/>
          <w:szCs w:val="22"/>
        </w:rPr>
        <w:t xml:space="preserve">Mat and page sizes are shown in whole inches.</w:t>
      </w:r>
    </w:p>
    <w:p>
      <w:pPr>
        <w:pStyle w:val="Normal"/>
        <w:numPr>
          <w:ilvl w:val="0"/>
          <w:numId w:val="2"/>
        </w:numPr>
        <w:spacing w:after="60" w:before="100"/>
      </w:pPr>
      <w:r>
        <w:rPr>
          <w:sz w:val="22"/>
          <w:szCs w:val="22"/>
        </w:rPr>
        <w:t xml:space="preserve">Never write “honest,” “honestly,” “genuinely,” or “straightforward.”</w:t>
      </w:r>
    </w:p>
    <w:p>
      <w:pPr>
        <w:pStyle w:val="Normal"/>
        <w:spacing w:after="60" w:before="100"/>
      </w:pPr>
      <w:r>
        <w:rPr>
          <w:sz w:val="22"/>
          <w:szCs w:val="22"/>
        </w:rPr>
        <w:t xml:space="preserve">Voice is concise and direct, with minimal formatting: prose over bullet lists unless a list is clearly warranted, as in this guide's own reference sections.</w:t>
      </w:r>
    </w:p>
    <w:p>
      <w:pPr>
        <w:pStyle w:val="Heading2Spec"/>
      </w:pPr>
      <w:r>
        <w:t xml:space="preserve">3. Structure</w:t>
      </w:r>
    </w:p>
    <w:p>
      <w:pPr>
        <w:pStyle w:val="Normal"/>
        <w:spacing w:after="60" w:before="100"/>
      </w:pPr>
      <w:r>
        <w:rPr>
          <w:sz w:val="22"/>
          <w:szCs w:val="22"/>
        </w:rPr>
        <w:t xml:space="preserve">The User Guide is organized around the application's features and tools — one section per tool or workflow (Getting Started, Cut/Fold Lines, Drawing, Editing, Snap!, Combining, Aligning, Cutting Out, 3D mode, and so on) — with jargon introduced in context the first time it's needed. This keeps each tool documented in exactly one place rather than re-explained inside every activity that uses it.</w:t>
      </w:r>
    </w:p>
    <w:p>
      <w:pPr>
        <w:pStyle w:val="Normal"/>
        <w:spacing w:after="60" w:before="100"/>
      </w:pPr>
      <w:r>
        <w:rPr>
          <w:sz w:val="22"/>
          <w:szCs w:val="22"/>
        </w:rPr>
        <w:t xml:space="preserve">A short activity-framed opening (Section 1, “Workflow for Creating a Collage”) and a closing “Tool Sequences for Specific Designs” appendix (mapping tools back to a Silhouette, a Collage, a Shadowbox Frame, and so on) bookend the tool reference, so a student can still find the path through a specific project without the whole guide being organized that way.</w:t>
      </w:r>
    </w:p>
    <w:p>
      <w:pPr>
        <w:pStyle w:val="Heading2Spec"/>
      </w:pPr>
      <w:r>
        <w:t xml:space="preserve">4. Page Setup</w:t>
      </w:r>
    </w:p>
    <w:p>
      <w:pPr>
        <w:pStyle w:val="Normal"/>
        <w:numPr>
          <w:ilvl w:val="0"/>
          <w:numId w:val="2"/>
        </w:numPr>
        <w:spacing w:after="60" w:before="100"/>
      </w:pPr>
      <w:r>
        <w:rPr>
          <w:sz w:val="22"/>
          <w:szCs w:val="22"/>
        </w:rPr>
        <w:t xml:space="preserve">US Letter, 8.5 × 11 in.</w:t>
      </w:r>
    </w:p>
    <w:p>
      <w:pPr>
        <w:pStyle w:val="Normal"/>
        <w:numPr>
          <w:ilvl w:val="0"/>
          <w:numId w:val="2"/>
        </w:numPr>
        <w:spacing w:after="60" w:before="100"/>
      </w:pPr>
      <w:r>
        <w:rPr>
          <w:sz w:val="22"/>
          <w:szCs w:val="22"/>
        </w:rPr>
        <w:t xml:space="preserve">Margins: 1 in on all sides. (The current file has a right margin of 1.0625 in — likely incidental drift; normalize to 1 in on the next revision.)</w:t>
      </w:r>
    </w:p>
    <w:p>
      <w:pPr>
        <w:pStyle w:val="Normal"/>
        <w:numPr>
          <w:ilvl w:val="0"/>
          <w:numId w:val="2"/>
        </w:numPr>
        <w:spacing w:after="60" w:before="100"/>
      </w:pPr>
      <w:r>
        <w:rPr>
          <w:sz w:val="22"/>
          <w:szCs w:val="22"/>
        </w:rPr>
        <w:t xml:space="preserve">No running header or footer, and no page numbers, in the current User Guide.</w:t>
      </w:r>
    </w:p>
    <w:p>
      <w:pPr>
        <w:pStyle w:val="Heading2Spec"/>
      </w:pPr>
      <w:r>
        <w:t xml:space="preserve">5. Named Styles</w:t>
      </w:r>
    </w:p>
    <w:p>
      <w:pPr>
        <w:pStyle w:val="Normal"/>
        <w:spacing w:after="60" w:before="100"/>
      </w:pPr>
      <w:r>
        <w:rPr>
          <w:sz w:val="22"/>
          <w:szCs w:val="22"/>
        </w:rPr>
        <w:t xml:space="preserve">Each entry below names the Word style actually used, its specification, and a live example set in that style.</w:t>
      </w:r>
    </w:p>
    <w:p>
      <w:pPr>
        <w:pStyle w:val="Heading3Spec"/>
      </w:pPr>
      <w:r>
        <w:t xml:space="preserve">5.1 Document Title — style “Heading 1”</w:t>
      </w:r>
    </w:p>
    <w:p>
      <w:pPr>
        <w:pStyle w:val="Normal"/>
        <w:spacing w:after="60" w:before="100"/>
      </w:pPr>
      <w:r>
        <w:rPr>
          <w:sz w:val="22"/>
          <w:szCs w:val="22"/>
        </w:rPr>
        <w:t xml:space="preserve">Used exactly once, for the document's own title. Bold, 16 pt, keeps with the text that follows (keepNext + keepLines), 6 pt space before and after, autospacing explicitly turned off. Do not use it for section headings.</w:t>
      </w:r>
    </w:p>
    <w:p>
      <w:pPr>
        <w:pStyle w:val="ExampleBox"/>
      </w:pPr>
      <w:r>
        <w:t xml:space="preserve">Example:</w:t>
      </w:r>
    </w:p>
    <w:p>
      <w:pPr>
        <w:pStyle w:val="Heading1Spec"/>
      </w:pPr>
      <w:r>
        <w:t xml:space="preserve">Sangala Studio User Guide</w:t>
      </w:r>
    </w:p>
    <w:p>
      <w:pPr>
        <w:pStyle w:val="Heading3Spec"/>
      </w:pPr>
      <w:r>
        <w:t xml:space="preserve">5.2 Section Heading — style “Heading 2”</w:t>
      </w:r>
    </w:p>
    <w:p>
      <w:pPr>
        <w:pStyle w:val="Normal"/>
        <w:spacing w:after="60" w:before="100"/>
      </w:pPr>
      <w:r>
        <w:rPr>
          <w:sz w:val="22"/>
          <w:szCs w:val="22"/>
        </w:rPr>
        <w:t xml:space="preserve">Used for every numbered section, e.g. “3. Cut lines and fold lines.” Bold, 13 pt, keepNext + keepLines, 6 pt before/after, autospacing off. The leading number is typed as ordinary text, not an auto-numbered list field — renumber by hand when a section is inserted or removed.</w:t>
      </w:r>
    </w:p>
    <w:p>
      <w:pPr>
        <w:pStyle w:val="ExampleBox"/>
      </w:pPr>
      <w:r>
        <w:t xml:space="preserve">Example:</w:t>
      </w:r>
    </w:p>
    <w:p>
      <w:pPr>
        <w:pStyle w:val="Heading2Spec"/>
      </w:pPr>
      <w:r>
        <w:t xml:space="preserve">9. Aligning Shapes</w:t>
      </w:r>
    </w:p>
    <w:p>
      <w:pPr>
        <w:pStyle w:val="Heading3Spec"/>
      </w:pPr>
      <w:r>
        <w:t xml:space="preserve">5.3 Reserved Sub-heading — style “Heading 3”</w:t>
      </w:r>
    </w:p>
    <w:p>
      <w:pPr>
        <w:pStyle w:val="Normal"/>
        <w:spacing w:after="60" w:before="100"/>
      </w:pPr>
      <w:r>
        <w:rPr>
          <w:sz w:val="22"/>
          <w:szCs w:val="22"/>
        </w:rPr>
        <w:t xml:space="preserve">Defined in the stylesheet but not yet used in the User Guide. As currently defined it is 12 pt and NOT bold, which breaks the bold pattern Heading 1 and Heading 2 both set. Bold it before its first real use — the example below shows the corrected version, which is what this guide recommends adopting.</w:t>
      </w:r>
    </w:p>
    <w:p>
      <w:pPr>
        <w:pStyle w:val="ExampleBox"/>
      </w:pPr>
      <w:r>
        <w:t xml:space="preserve">Example (with the bold fix applied):</w:t>
      </w:r>
    </w:p>
    <w:p>
      <w:pPr>
        <w:pStyle w:val="Heading3Spec"/>
      </w:pPr>
      <w:r>
        <w:t xml:space="preserve">The Nodes Tool</w:t>
      </w:r>
    </w:p>
    <w:p>
      <w:pPr>
        <w:pStyle w:val="Heading3Spec"/>
      </w:pPr>
      <w:r>
        <w:t xml:space="preserve">5.4 Body Text — style “Normal”</w:t>
      </w:r>
    </w:p>
    <w:p>
      <w:pPr>
        <w:pStyle w:val="Normal"/>
        <w:spacing w:after="60" w:before="100"/>
      </w:pPr>
      <w:r>
        <w:rPr>
          <w:sz w:val="22"/>
          <w:szCs w:val="22"/>
        </w:rPr>
        <w:t xml:space="preserve">Times New Roman, 11 pt, black — the base every other style inherits from. The style itself carries no paragraph spacing; ordinary paragraphs get 5 pt space before and 3 pt after applied directly, so a new paragraph needs that spacing set by hand (or copied from a neighboring paragraph) rather than assumed from the style.</w:t>
      </w:r>
    </w:p>
    <w:p>
      <w:pPr>
        <w:pStyle w:val="ExampleBox"/>
      </w:pPr>
      <w:r>
        <w:t xml:space="preserve">Example:</w:t>
      </w:r>
    </w:p>
    <w:p>
      <w:pPr>
        <w:pStyle w:val="Normal"/>
        <w:spacing w:after="60" w:before="100"/>
      </w:pPr>
      <w:r>
        <w:rPr>
          <w:sz w:val="22"/>
          <w:szCs w:val="22"/>
        </w:rPr>
        <w:t xml:space="preserve">This is a Normal-styled body paragraph: Times New Roman, 11 pt, with 5 pt of space above and 3 pt below, matching the spacing used throughout the current User Guide.</w:t>
      </w:r>
    </w:p>
    <w:p>
      <w:pPr>
        <w:pStyle w:val="Heading3Spec"/>
      </w:pPr>
      <w:r>
        <w:t xml:space="preserve">5.5 Legacy Style — “Normal (Web)” (avoid for new content)</w:t>
      </w:r>
    </w:p>
    <w:p>
      <w:pPr>
        <w:pStyle w:val="Normal"/>
        <w:spacing w:after="60" w:before="100"/>
      </w:pPr>
      <w:r>
        <w:rPr>
          <w:sz w:val="22"/>
          <w:szCs w:val="22"/>
        </w:rPr>
        <w:t xml:space="preserve">A carryover from the guide's original HTML/web origin. Same font as Normal, but the style itself turns on Word's autospacing (beforeAutospacing / afterAutospacing), which the process rules explicitly forbid adding. It is currently used for figure captions and some note paragraphs (roughly 154 instances). Leave those alone — converting them is a forbidden document-wide change — but write new captions and notes with Normal plus direct spacing, or the proposed Caption style in 5.7, instead of Normal (Web).</w:t>
      </w:r>
    </w:p>
    <w:p>
      <w:pPr>
        <w:pStyle w:val="Heading3Spec"/>
      </w:pPr>
      <w:r>
        <w:t xml:space="preserve">5.6 List Items — style “List Paragraph”</w:t>
      </w:r>
    </w:p>
    <w:p>
      <w:pPr>
        <w:pStyle w:val="Normal"/>
        <w:spacing w:after="60" w:before="100"/>
      </w:pPr>
      <w:r>
        <w:rPr>
          <w:sz w:val="22"/>
          <w:szCs w:val="22"/>
        </w:rPr>
        <w:t xml:space="preserve">0.5 in left indent; 5 pt before / 3 pt after, matching Normal; contextualSpacing on so consecutive items don't double their spacing. Numbered lists use Arabic numerals at the top level, then lowercase letters, then Roman numerals for deeper levels. A hyphen bullet is used for unordered option lists, such as a choice between line types.</w:t>
      </w:r>
    </w:p>
    <w:p>
      <w:pPr>
        <w:pStyle w:val="ExampleBox"/>
      </w:pPr>
      <w:r>
        <w:t xml:space="preserve">Example:</w:t>
      </w:r>
    </w:p>
    <w:p>
      <w:pPr>
        <w:pStyle w:val="Normal"/>
        <w:numPr>
          <w:ilvl w:val="0"/>
          <w:numId w:val="3"/>
        </w:numPr>
        <w:spacing w:after="60" w:before="100"/>
      </w:pPr>
      <w:r>
        <w:rPr>
          <w:sz w:val="22"/>
          <w:szCs w:val="22"/>
        </w:rPr>
        <w:t xml:space="preserve">Identify an image.</w:t>
      </w:r>
    </w:p>
    <w:p>
      <w:pPr>
        <w:pStyle w:val="Normal"/>
        <w:numPr>
          <w:ilvl w:val="0"/>
          <w:numId w:val="3"/>
        </w:numPr>
        <w:spacing w:after="60" w:before="100"/>
      </w:pPr>
      <w:r>
        <w:rPr>
          <w:sz w:val="22"/>
          <w:szCs w:val="22"/>
        </w:rPr>
        <w:t xml:space="preserve">Import the image into Sangala Studio.</w:t>
      </w:r>
    </w:p>
    <w:p>
      <w:pPr>
        <w:pStyle w:val="Normal"/>
        <w:numPr>
          <w:ilvl w:val="0"/>
          <w:numId w:val="3"/>
        </w:numPr>
        <w:spacing w:after="60" w:before="100"/>
      </w:pPr>
      <w:r>
        <w:rPr>
          <w:sz w:val="22"/>
          <w:szCs w:val="22"/>
        </w:rPr>
        <w:t xml:space="preserve">Remove the background.</w:t>
      </w:r>
    </w:p>
    <w:p>
      <w:pPr>
        <w:pStyle w:val="Heading3Spec"/>
      </w:pPr>
      <w:r>
        <w:t xml:space="preserve">5.7 Captions — current practice and a proposed “Caption” style</w:t>
      </w:r>
    </w:p>
    <w:p>
      <w:pPr>
        <w:pStyle w:val="Normal"/>
        <w:spacing w:after="60" w:before="100"/>
      </w:pPr>
      <w:r>
        <w:rPr>
          <w:sz w:val="22"/>
          <w:szCs w:val="22"/>
        </w:rPr>
        <w:t xml:space="preserve">Figure captions currently use Normal (Web), with a 1.5 in indent on both sides to visually narrow and center a single line, and the run wrapped in the built-in Emphasis character style for italics. That approximates centering for a one-line caption but doesn't truly center a caption that wraps to two lines of different lengths.</w:t>
      </w:r>
    </w:p>
    <w:p>
      <w:pPr>
        <w:pStyle w:val="Normal"/>
        <w:spacing w:after="60" w:before="100"/>
      </w:pPr>
      <w:r>
        <w:rPr>
          <w:sz w:val="22"/>
          <w:szCs w:val="22"/>
        </w:rPr>
        <w:t xml:space="preserve">Recommendation: adopt a dedicated Caption paragraph style with true center alignment and italics built in, 3 pt space above. Format stays “Figure N. &lt;sentence&gt;.” — period-terminated, numbered sequentially, renumbering later figures whenever one is inserted. The example below uses the proposed style.</w:t>
      </w:r>
    </w:p>
    <w:p>
      <w:pPr>
        <w:pStyle w:val="ExampleBox"/>
      </w:pPr>
      <w:r>
        <w:t xml:space="preserve">Example (proposed Caption style):</w:t>
      </w:r>
    </w:p>
    <w:p>
      <w:pPr>
        <w:pStyle w:val="CaptionSpec"/>
      </w:pPr>
      <w:r>
        <w:t xml:space="preserve">Figure 18. A worked example of the proposed Caption style, centered and italic.</w:t>
      </w:r>
    </w:p>
    <w:p>
      <w:pPr>
        <w:pStyle w:val="Heading3Spec"/>
      </w:pPr>
      <w:r>
        <w:t xml:space="preserve">5.8 Inline Emphasis — character styles “Emphasis” and “Strong”</w:t>
      </w:r>
    </w:p>
    <w:p>
      <w:pPr>
        <w:pStyle w:val="Normal"/>
        <w:spacing w:after="60" w:before="100"/>
      </w:pPr>
      <w:r>
        <w:rPr>
          <w:sz w:val="22"/>
          <w:szCs w:val="22"/>
        </w:rPr>
        <w:t xml:space="preserve">Used for tool names, button labels, and other inline terms that need emphasis without becoming a new paragraph style.</w:t>
      </w:r>
    </w:p>
    <w:p>
      <w:pPr>
        <w:pStyle w:val="ExampleBox"/>
      </w:pPr>
      <w:r>
        <w:t xml:space="preserve">Example:</w:t>
      </w:r>
    </w:p>
    <w:p>
      <w:pPr>
        <w:pStyle w:val="Normal"/>
        <w:spacing w:after="60" w:before="100"/>
      </w:pPr>
      <w:r>
        <w:rPr>
          <w:sz w:val="22"/>
          <w:szCs w:val="22"/>
        </w:rPr>
        <w:t xml:space="preserve">Click </w:t>
      </w:r>
      <w:r>
        <w:rPr>
          <w:b/>
          <w:bCs/>
          <w:sz w:val="22"/>
          <w:szCs w:val="22"/>
        </w:rPr>
        <w:t xml:space="preserve">Combine</w:t>
      </w:r>
      <w:r>
        <w:rPr>
          <w:sz w:val="22"/>
          <w:szCs w:val="22"/>
        </w:rPr>
        <w:t xml:space="preserve">, then choose </w:t>
      </w:r>
      <w:r>
        <w:rPr>
          <w:i/>
          <w:iCs/>
          <w:sz w:val="22"/>
          <w:szCs w:val="22"/>
        </w:rPr>
        <w:t xml:space="preserve">Union</w:t>
      </w:r>
      <w:r>
        <w:rPr>
          <w:sz w:val="22"/>
          <w:szCs w:val="22"/>
        </w:rPr>
        <w:t xml:space="preserve"> to join both shapes.</w:t>
      </w:r>
    </w:p>
    <w:p>
      <w:pPr>
        <w:pStyle w:val="Heading3Spec"/>
      </w:pPr>
      <w:r>
        <w:t xml:space="preserve">5.9 Tables</w:t>
      </w:r>
    </w:p>
    <w:p>
      <w:pPr>
        <w:pStyle w:val="Normal"/>
        <w:spacing w:after="60" w:before="100"/>
      </w:pPr>
      <w:r>
        <w:rPr>
          <w:sz w:val="22"/>
          <w:szCs w:val="22"/>
        </w:rPr>
        <w:t xml:space="preserve">The Quick Reference table is centered on the page, Arial throughout, header row bold, and cell paragraph spacing is 3 pt before / 2 pt after — paragraph spacing, not cell margins, which is the rule most often missed. Its border, however, is currently a single outer box only: no internal grid, and no double line under the header row. That doesn't match the convention of a single-line grid with a double line dividing the header from the body. The example below shows the grid version, so the two can be compared directly against the live Quick Reference table.</w:t>
      </w:r>
    </w:p>
    <w:p>
      <w:pPr>
        <w:pStyle w:val="ExampleBox"/>
      </w:pPr>
      <w:r>
        <w:t xml:space="preserve">Example (with the grid + double header rule applied):</w:t>
      </w:r>
    </w:p>
    <w:tbl>
      <w:tblPr>
        <w:tblW w:type="dxa" w:w="6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3600"/>
      </w:tblGrid>
      <w:tr>
        <w:tc>
          <w:tcPr>
            <w:tcW w:type="dxa" w:w="2400"/>
            <w:tcBorders>
              <w:bottom w:val="double" w:color="000000" w:sz="6"/>
            </w:tcBorders>
          </w:tcPr>
          <w:p>
            <w:pPr>
              <w:spacing w:after="40" w:before="60"/>
            </w:pPr>
            <w:r>
              <w:rPr>
                <w:rFonts w:ascii="Arial" w:cs="Arial" w:eastAsia="Arial" w:hAnsi="Arial"/>
                <w:b/>
                <w:bCs/>
                <w:sz w:val="20"/>
                <w:szCs w:val="20"/>
              </w:rPr>
              <w:t xml:space="preserve">Tool</w:t>
            </w:r>
          </w:p>
        </w:tc>
        <w:tc>
          <w:tcPr>
            <w:tcW w:type="dxa" w:w="3600"/>
            <w:tcBorders>
              <w:bottom w:val="double" w:color="000000" w:sz="6"/>
            </w:tcBorders>
          </w:tcPr>
          <w:p>
            <w:pPr>
              <w:spacing w:after="40" w:before="60"/>
            </w:pPr>
            <w:r>
              <w:rPr>
                <w:rFonts w:ascii="Arial" w:cs="Arial" w:eastAsia="Arial" w:hAnsi="Arial"/>
                <w:b/>
                <w:bCs/>
                <w:sz w:val="20"/>
                <w:szCs w:val="20"/>
              </w:rPr>
              <w:t xml:space="preserve">Action</w:t>
            </w:r>
          </w:p>
        </w:tc>
      </w:tr>
      <w:tr>
        <w:tc>
          <w:tcPr>
            <w:tcW w:type="dxa" w:w="2400"/>
          </w:tcPr>
          <w:p>
            <w:pPr>
              <w:spacing w:after="40" w:before="60"/>
            </w:pPr>
            <w:r>
              <w:rPr>
                <w:rFonts w:ascii="Arial" w:cs="Arial" w:eastAsia="Arial" w:hAnsi="Arial"/>
                <w:sz w:val="20"/>
                <w:szCs w:val="20"/>
              </w:rPr>
              <w:t xml:space="preserve">Move or resize a shape</w:t>
            </w:r>
          </w:p>
        </w:tc>
        <w:tc>
          <w:tcPr>
            <w:tcW w:type="dxa" w:w="3600"/>
          </w:tcPr>
          <w:p>
            <w:pPr>
              <w:spacing w:after="40" w:before="60"/>
            </w:pPr>
            <w:r>
              <w:rPr>
                <w:rFonts w:ascii="Arial" w:cs="Arial" w:eastAsia="Arial" w:hAnsi="Arial"/>
                <w:sz w:val="20"/>
                <w:szCs w:val="20"/>
              </w:rPr>
              <w:t xml:space="preserve">Select, then drag the shape or a corner</w:t>
            </w:r>
          </w:p>
        </w:tc>
      </w:tr>
    </w:tbl>
    <w:p/>
    <w:p>
      <w:pPr>
        <w:pStyle w:val="Heading2Spec"/>
      </w:pPr>
      <w:r>
        <w:t xml:space="preserve">6. Process and Versioning</w:t>
      </w:r>
    </w:p>
    <w:p>
      <w:pPr>
        <w:pStyle w:val="Normal"/>
        <w:numPr>
          <w:ilvl w:val="0"/>
          <w:numId w:val="2"/>
        </w:numPr>
        <w:spacing w:after="60" w:before="100"/>
      </w:pPr>
      <w:r>
        <w:rPr>
          <w:sz w:val="22"/>
          <w:szCs w:val="22"/>
        </w:rPr>
        <w:t xml:space="preserve">Never regenerate a document to revise it — edit the actual file in place, surgically. Regeneration wipes manual formatting and has cost real rework.</w:t>
      </w:r>
    </w:p>
    <w:p>
      <w:pPr>
        <w:pStyle w:val="Normal"/>
        <w:numPr>
          <w:ilvl w:val="0"/>
          <w:numId w:val="2"/>
        </w:numPr>
        <w:spacing w:after="60" w:before="100"/>
      </w:pPr>
      <w:r>
        <w:rPr>
          <w:sz w:val="22"/>
          <w:szCs w:val="22"/>
        </w:rPr>
        <w:t xml:space="preserve">Versioning: copy to the next version number, edit, then move the prior version into .Archive/ so the working folder shows only the current one.</w:t>
      </w:r>
    </w:p>
    <w:p>
      <w:pPr>
        <w:pStyle w:val="Normal"/>
        <w:numPr>
          <w:ilvl w:val="0"/>
          <w:numId w:val="2"/>
        </w:numPr>
        <w:spacing w:after="60" w:before="100"/>
      </w:pPr>
      <w:r>
        <w:rPr>
          <w:sz w:val="22"/>
          <w:szCs w:val="22"/>
        </w:rPr>
        <w:t xml:space="preserve">Verify pagination before delivering — orphaned headings and ballooned gaps live in the pagination, not the XML, so a validator can pass while the page looks broken.</w:t>
      </w:r>
    </w:p>
    <w:p>
      <w:pPr>
        <w:pStyle w:val="Normal"/>
        <w:numPr>
          <w:ilvl w:val="0"/>
          <w:numId w:val="2"/>
        </w:numPr>
        <w:spacing w:after="60" w:before="100"/>
      </w:pPr>
      <w:r>
        <w:rPr>
          <w:sz w:val="22"/>
          <w:szCs w:val="22"/>
        </w:rPr>
        <w:t xml:space="preserve">Deliver as a plain file path.</w:t>
      </w:r>
    </w:p>
    <w:p>
      <w:pPr>
        <w:pStyle w:val="Heading2Spec"/>
      </w:pPr>
      <w:r>
        <w:t xml:space="preserve">7. Known Inconsistencies to Clean Up (as of Ver 4.1)</w:t>
      </w:r>
    </w:p>
    <w:p>
      <w:pPr>
        <w:pStyle w:val="Normal"/>
        <w:spacing w:after="60" w:before="100"/>
      </w:pPr>
      <w:r>
        <w:rPr>
          <w:sz w:val="22"/>
          <w:szCs w:val="22"/>
        </w:rPr>
        <w:t xml:space="preserve">Found while building this guide by inspecting the live document. None are structural — all are small, direct fixes.</w:t>
      </w:r>
    </w:p>
    <w:p>
      <w:pPr>
        <w:pStyle w:val="Normal"/>
        <w:numPr>
          <w:ilvl w:val="0"/>
          <w:numId w:val="2"/>
        </w:numPr>
        <w:spacing w:after="60" w:before="100"/>
      </w:pPr>
      <w:r>
        <w:rPr>
          <w:sz w:val="22"/>
          <w:szCs w:val="22"/>
        </w:rPr>
        <w:t xml:space="preserve">Figure 4's caption uses an em dash (“Figure 4 — A photograph...”) instead of the period every other caption uses.</w:t>
      </w:r>
    </w:p>
    <w:p>
      <w:pPr>
        <w:pStyle w:val="Normal"/>
        <w:numPr>
          <w:ilvl w:val="0"/>
          <w:numId w:val="2"/>
        </w:numPr>
        <w:spacing w:after="60" w:before="100"/>
      </w:pPr>
      <w:r>
        <w:rPr>
          <w:sz w:val="22"/>
          <w:szCs w:val="22"/>
        </w:rPr>
        <w:t xml:space="preserve">Figure 13's caption is missing its terminal period.</w:t>
      </w:r>
    </w:p>
    <w:p>
      <w:pPr>
        <w:pStyle w:val="Normal"/>
        <w:numPr>
          <w:ilvl w:val="0"/>
          <w:numId w:val="2"/>
        </w:numPr>
        <w:spacing w:after="60" w:before="100"/>
      </w:pPr>
      <w:r>
        <w:rPr>
          <w:sz w:val="22"/>
          <w:szCs w:val="22"/>
        </w:rPr>
        <w:t xml:space="preserve">“Snap to Fit” is italicized everywhere in the text but appears as plain text in its Quick Reference table row.</w:t>
      </w:r>
    </w:p>
    <w:p>
      <w:pPr>
        <w:pStyle w:val="Normal"/>
        <w:numPr>
          <w:ilvl w:val="0"/>
          <w:numId w:val="2"/>
        </w:numPr>
        <w:spacing w:after="60" w:before="100"/>
      </w:pPr>
      <w:r>
        <w:rPr>
          <w:sz w:val="22"/>
          <w:szCs w:val="22"/>
        </w:rPr>
        <w:t xml:space="preserve">“Make It!” drifts to “Make It” and “Make it” once each, both in the Snap! section.</w:t>
      </w:r>
    </w:p>
    <w:p>
      <w:pPr>
        <w:pStyle w:val="Normal"/>
        <w:numPr>
          <w:ilvl w:val="0"/>
          <w:numId w:val="2"/>
        </w:numPr>
        <w:spacing w:after="60" w:before="100"/>
      </w:pPr>
      <w:r>
        <w:rPr>
          <w:sz w:val="22"/>
          <w:szCs w:val="22"/>
        </w:rPr>
        <w:t xml:space="preserve">The opening paragraph calls Sangala Studio “a Digital Fabrication tool” (lowercase “tool”), where the subtitle convention is mixed-case “Digital Fabrication Tool.”</w:t>
      </w:r>
    </w:p>
    <w:p>
      <w:pPr>
        <w:pStyle w:val="Normal"/>
        <w:numPr>
          <w:ilvl w:val="0"/>
          <w:numId w:val="2"/>
        </w:numPr>
        <w:spacing w:after="60" w:before="100"/>
      </w:pPr>
      <w:r>
        <w:rPr>
          <w:sz w:val="22"/>
          <w:szCs w:val="22"/>
        </w:rPr>
        <w:t xml:space="preserve">The Quick Reference table lacks the internal grid and double header rule called for by the table convention (Section 5.9).</w:t>
      </w:r>
    </w:p>
    <w:p>
      <w:pPr>
        <w:pStyle w:val="Normal"/>
        <w:numPr>
          <w:ilvl w:val="0"/>
          <w:numId w:val="2"/>
        </w:numPr>
        <w:spacing w:after="60" w:before="100"/>
      </w:pPr>
      <w:r>
        <w:rPr>
          <w:sz w:val="22"/>
          <w:szCs w:val="22"/>
        </w:rPr>
        <w:t xml:space="preserve">Heading 3 is not bold, unlike Heading 1 and Heading 2 (Section 5.3) — fix before its first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qFormat/>
    <w:rPr>
      <w:rFonts w:ascii="Times New Roman" w:cs="Times New Roman" w:eastAsia="Times New Roman" w:hAnsi="Times New Roman"/>
      <w:color w:val="000000"/>
      <w:sz w:val="22"/>
      <w:szCs w:val="22"/>
    </w:rPr>
  </w:style>
  <w:style w:type="paragraph" w:styleId="CoverTitle">
    <w:name w:val="Cover Title"/>
    <w:basedOn w:val="Normal"/>
    <w:next w:val="Normal"/>
    <w:qFormat/>
    <w:pPr>
      <w:spacing w:after="120" w:before="240"/>
      <w:jc w:val="center"/>
    </w:pPr>
    <w:rPr>
      <w:b/>
      <w:bCs/>
      <w:color w:val="000000"/>
      <w:sz w:val="56"/>
      <w:szCs w:val="56"/>
    </w:rPr>
  </w:style>
  <w:style w:type="paragraph" w:styleId="CoverSub">
    <w:name w:val="Cover Subtitle"/>
    <w:basedOn w:val="Normal"/>
    <w:next w:val="Normal"/>
    <w:qFormat/>
    <w:pPr>
      <w:spacing w:after="480" w:before="0"/>
      <w:jc w:val="center"/>
    </w:pPr>
    <w:rPr>
      <w:i/>
      <w:iCs/>
      <w:color w:val="333333"/>
      <w:sz w:val="28"/>
      <w:szCs w:val="28"/>
    </w:rPr>
  </w:style>
  <w:style w:type="paragraph" w:styleId="Heading1Spec">
    <w:name w:val="Heading 1 (spec)"/>
    <w:basedOn w:val="Normal"/>
    <w:next w:val="Normal"/>
    <w:qFormat/>
    <w:pPr>
      <w:keepNext/>
      <w:keepLines/>
      <w:spacing w:after="120" w:before="120"/>
    </w:pPr>
    <w:rPr>
      <w:b/>
      <w:bCs/>
      <w:color w:val="000000"/>
      <w:sz w:val="32"/>
      <w:szCs w:val="32"/>
    </w:rPr>
  </w:style>
  <w:style w:type="paragraph" w:styleId="Heading2Spec">
    <w:name w:val="Heading 2 (spec)"/>
    <w:basedOn w:val="Normal"/>
    <w:next w:val="Normal"/>
    <w:qFormat/>
    <w:pPr>
      <w:keepNext/>
      <w:keepLines/>
      <w:spacing w:after="120" w:before="240"/>
    </w:pPr>
    <w:rPr>
      <w:b/>
      <w:bCs/>
      <w:color w:val="000000"/>
      <w:sz w:val="26"/>
      <w:szCs w:val="26"/>
    </w:rPr>
  </w:style>
  <w:style w:type="paragraph" w:styleId="Heading3Spec">
    <w:name w:val="Heading 3 (spec, bold fix applied)"/>
    <w:basedOn w:val="Normal"/>
    <w:next w:val="Normal"/>
    <w:qFormat/>
    <w:pPr>
      <w:keepNext/>
      <w:keepLines/>
      <w:spacing w:after="100" w:before="160"/>
    </w:pPr>
    <w:rPr>
      <w:b/>
      <w:bCs/>
      <w:color w:val="000000"/>
      <w:sz w:val="24"/>
      <w:szCs w:val="24"/>
    </w:rPr>
  </w:style>
  <w:style w:type="paragraph" w:styleId="CaptionSpec">
    <w:name w:val="Caption (proposed)"/>
    <w:basedOn w:val="Normal"/>
    <w:next w:val="Normal"/>
    <w:qFormat/>
    <w:pPr>
      <w:spacing w:after="120" w:before="60"/>
      <w:jc w:val="center"/>
    </w:pPr>
    <w:rPr>
      <w:i/>
      <w:iCs/>
      <w:color w:val="000000"/>
      <w:sz w:val="22"/>
      <w:szCs w:val="22"/>
    </w:rPr>
  </w:style>
  <w:style w:type="paragraph" w:styleId="GuideNote">
    <w:name w:val="Guide Note"/>
    <w:basedOn w:val="Normal"/>
    <w:next w:val="Normal"/>
    <w:qFormat/>
    <w:pPr>
      <w:spacing w:after="120" w:before="60"/>
    </w:pPr>
    <w:rPr>
      <w:color w:val="555555"/>
      <w:sz w:val="20"/>
      <w:szCs w:val="20"/>
    </w:rPr>
  </w:style>
  <w:style w:type="paragraph" w:styleId="ExampleBox">
    <w:name w:val="Example Box Label"/>
    <w:basedOn w:val="Normal"/>
    <w:next w:val="Normal"/>
    <w:qFormat/>
    <w:pPr>
      <w:spacing w:after="0" w:before="120"/>
    </w:pPr>
    <w:rPr>
      <w:i/>
      <w:iCs/>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2026-07-20T23:23:15.893Z</dcterms:created>
  <dcterms:modified xsi:type="dcterms:W3CDTF">2026-07-20T23:23:15.899Z</dcterms:modified>
</cp:coreProperties>
</file>

<file path=docProps/custom.xml><?xml version="1.0" encoding="utf-8"?>
<Properties xmlns="http://schemas.openxmlformats.org/officeDocument/2006/custom-properties" xmlns:vt="http://schemas.openxmlformats.org/officeDocument/2006/docPropsVTypes"/>
</file>