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keepLines/>
        <w:spacing w:before="0" w:after="40"/>
        <w:jc w:val="center"/>
      </w:pPr>
      <w:r>
        <w:rPr>
          <w:rFonts w:ascii="Times New Roman" w:hAnsi="Times New Roman"/>
          <w:b/>
          <w:sz w:val="34"/>
          <w:szCs w:val="34"/>
        </w:rPr>
        <w:t xml:space="preserve">From Mosaic to Brick Figure</w:t>
      </w:r>
    </w:p>
    <w:p>
      <w:pPr>
        <w:keepNext/>
        <w:keepLines/>
        <w:spacing w:before="0" w:after="40"/>
        <w:jc w:val="center"/>
      </w:pPr>
      <w:r>
        <w:rPr>
          <w:rFonts w:ascii="Times New Roman" w:hAnsi="Times New Roman"/>
          <w:i/>
          <w:sz w:val="24"/>
          <w:szCs w:val="24"/>
        </w:rPr>
        <w:t xml:space="preserve">A conceptual model for the transition from a two-dimensional LEGO mosaic to a three-dimensional figure</w:t>
      </w:r>
    </w:p>
    <w:p>
      <w:pPr>
        <w:keepNext/>
        <w:keepLines/>
        <w:spacing w:before="0" w:after="240"/>
        <w:jc w:val="center"/>
      </w:pPr>
      <w:r>
        <w:rPr>
          <w:rFonts w:ascii="Times New Roman" w:hAnsi="Times New Roman"/>
          <w:i/>
          <w:sz w:val="20"/>
          <w:szCs w:val="20"/>
        </w:rPr>
        <w:t xml:space="preserve">Version 1.1  ·  27 July 2026</w:t>
      </w:r>
    </w:p>
    <w:p>
      <w:pPr>
        <w:keepNext/>
        <w:keepLines/>
        <w:spacing w:before="0" w:after="60"/>
      </w:pPr>
      <w:r>
        <w:rPr>
          <w:rFonts w:ascii="Times New Roman" w:hAnsi="Times New Roman"/>
          <w:b/>
          <w:sz w:val="26"/>
          <w:szCs w:val="26"/>
        </w:rPr>
        <w:t xml:space="preserve">Context</w:t>
      </w:r>
    </w:p>
    <w:p>
      <w:pPr>
        <w:spacing w:before="0" w:after="100"/>
      </w:pPr>
      <w:r>
        <w:rPr>
          <w:rFonts w:ascii="Times New Roman" w:hAnsi="Times New Roman"/>
          <w:sz w:val="22"/>
          <w:szCs w:val="22"/>
        </w:rPr>
        <w:t xml:space="preserve">An introductory course in design through making carries one subject through a sequence of representations: photograph, silhouette, collage, shadowbox, mosaic, and finally a three-dimensional figure. The mosaic is produced in Sangala Mosaic, a browser application that maps a photograph onto a grid of LEGO tiles. The figure that follows is assembled from LEGO bricks. Sangala Studio, a companion application, provides the passage between them.</w:t>
      </w:r>
    </w:p>
    <w:p>
      <w:pPr>
        <w:spacing w:before="100" w:after="100"/>
      </w:pPr>
      <w:r>
        <w:rPr>
          <w:rFonts w:ascii="Times New Roman" w:hAnsi="Times New Roman"/>
          <w:sz w:val="22"/>
          <w:szCs w:val="22"/>
        </w:rPr>
        <w:t xml:space="preserve">That passage is the hinge of the course. Everything preceding it works on a flat surface; everything following it builds upward, and eventually into computer-aided design and 3D printing. This paper sets out the conceptual model governing the transition, and the form its implementation takes.</w:t>
      </w:r>
    </w:p>
    <w:p>
      <w:pPr>
        <w:keepNext/>
        <w:keepLines/>
        <w:spacing w:before="240" w:after="60"/>
      </w:pPr>
      <w:r>
        <w:rPr>
          <w:rFonts w:ascii="Times New Roman" w:hAnsi="Times New Roman"/>
          <w:b/>
          <w:sz w:val="26"/>
          <w:szCs w:val="26"/>
        </w:rPr>
        <w:t xml:space="preserve">The Ladder</w:t>
      </w:r>
    </w:p>
    <w:p>
      <w:pPr>
        <w:spacing w:before="100" w:after="100"/>
      </w:pPr>
      <w:r>
        <w:rPr>
          <w:rFonts w:ascii="Times New Roman" w:hAnsi="Times New Roman"/>
          <w:sz w:val="22"/>
          <w:szCs w:val="22"/>
        </w:rPr>
        <w:t xml:space="preserve">The transition is not a single step. In art-historical terms the sequence following a flat mosaic passes through relief and deep relief before arriving at a figure in the round. Each rung is a finished artifact, and each puts one new question to the designer.</w:t>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600"/>
        <w:gridCol w:w="4600"/>
        <w:gridCol w:w="2260"/>
      </w:tblGrid>
      <w:tr>
        <w:trPr>
          <w:cantSplit/>
          <w:tblHeader/>
        </w:trPr>
        <w:tc>
          <w:tcPr>
            <w:tcW w:w="8460" w:type="dxa"/>
            <w:gridSpan w:val="3"/>
            <w:vAlign w:val="top"/>
          </w:tcPr>
          <w:p>
            <w:pPr>
              <w:spacing w:before="60" w:after="40"/>
            </w:pPr>
            <w:r>
              <w:rPr>
                <w:rFonts w:ascii="Arial" w:hAnsi="Arial"/>
                <w:b/>
                <w:sz w:val="20"/>
                <w:szCs w:val="20"/>
              </w:rPr>
              <w:t xml:space="preserve">Table 1. The rungs from mosaic to figure, and the question each puts to the designer.</w:t>
            </w:r>
          </w:p>
        </w:tc>
      </w:tr>
      <w:tr>
        <w:trPr>
          <w:cantSplit/>
          <w:tblHeader/>
        </w:trPr>
        <w:tc>
          <w:tcPr>
            <w:tcW w:w="1600" w:type="dxa"/>
            <w:tcBorders>
              <w:bottom w:val="double" w:sz="4" w:space="0" w:color="000000"/>
            </w:tcBorders>
            <w:vAlign w:val="top"/>
          </w:tcPr>
          <w:p>
            <w:pPr>
              <w:spacing w:before="60" w:after="40"/>
              <w:jc w:val="center"/>
            </w:pPr>
            <w:r>
              <w:rPr>
                <w:rFonts w:ascii="Arial" w:hAnsi="Arial"/>
                <w:i/>
                <w:sz w:val="20"/>
                <w:szCs w:val="20"/>
              </w:rPr>
              <w:t xml:space="preserve">Rung</w:t>
            </w:r>
          </w:p>
        </w:tc>
        <w:tc>
          <w:tcPr>
            <w:tcW w:w="4600" w:type="dxa"/>
            <w:tcBorders>
              <w:bottom w:val="double" w:sz="4" w:space="0" w:color="000000"/>
            </w:tcBorders>
            <w:vAlign w:val="top"/>
          </w:tcPr>
          <w:p>
            <w:pPr>
              <w:spacing w:before="60" w:after="40"/>
              <w:jc w:val="center"/>
            </w:pPr>
            <w:r>
              <w:rPr>
                <w:rFonts w:ascii="Arial" w:hAnsi="Arial"/>
                <w:i/>
                <w:sz w:val="20"/>
                <w:szCs w:val="20"/>
              </w:rPr>
              <w:t xml:space="preserve">The question it puts</w:t>
            </w:r>
          </w:p>
        </w:tc>
        <w:tc>
          <w:tcPr>
            <w:tcW w:w="2260" w:type="dxa"/>
            <w:tcBorders>
              <w:bottom w:val="double" w:sz="4" w:space="0" w:color="000000"/>
            </w:tcBorders>
            <w:vAlign w:val="top"/>
          </w:tcPr>
          <w:p>
            <w:pPr>
              <w:spacing w:before="60" w:after="40"/>
              <w:jc w:val="center"/>
            </w:pPr>
            <w:r>
              <w:rPr>
                <w:rFonts w:ascii="Arial" w:hAnsi="Arial"/>
                <w:i/>
                <w:sz w:val="20"/>
                <w:szCs w:val="20"/>
              </w:rPr>
              <w:t xml:space="preserve">Where it is answered</w:t>
            </w:r>
          </w:p>
        </w:tc>
      </w:tr>
      <w:tr>
        <w:trPr>
          <w:cantSplit/>
        </w:trPr>
        <w:tc>
          <w:tcPr>
            <w:tcW w:w="1600" w:type="dxa"/>
            <w:vAlign w:val="top"/>
          </w:tcPr>
          <w:p>
            <w:pPr>
              <w:spacing w:before="60" w:after="40"/>
            </w:pPr>
            <w:r>
              <w:rPr>
                <w:rFonts w:ascii="Arial" w:hAnsi="Arial"/>
                <w:b/>
                <w:sz w:val="20"/>
                <w:szCs w:val="20"/>
              </w:rPr>
              <w:t xml:space="preserve">Mosaic</w:t>
            </w:r>
          </w:p>
        </w:tc>
        <w:tc>
          <w:tcPr>
            <w:tcW w:w="4600" w:type="dxa"/>
            <w:vAlign w:val="top"/>
          </w:tcPr>
          <w:p>
            <w:pPr>
              <w:spacing w:before="60" w:after="40"/>
            </w:pPr>
            <w:r>
              <w:rPr>
                <w:rFonts w:ascii="Arial" w:hAnsi="Arial"/>
                <w:sz w:val="20"/>
                <w:szCs w:val="20"/>
              </w:rPr>
              <w:t xml:space="preserve">Which colors is this animal made of?</w:t>
            </w:r>
          </w:p>
        </w:tc>
        <w:tc>
          <w:tcPr>
            <w:tcW w:w="2260" w:type="dxa"/>
            <w:vAlign w:val="top"/>
          </w:tcPr>
          <w:p>
            <w:pPr>
              <w:spacing w:before="60" w:after="40"/>
            </w:pPr>
            <w:r>
              <w:rPr>
                <w:rFonts w:ascii="Arial" w:hAnsi="Arial"/>
                <w:sz w:val="20"/>
                <w:szCs w:val="20"/>
              </w:rPr>
              <w:t xml:space="preserve">Sangala Mosaic</w:t>
            </w:r>
          </w:p>
        </w:tc>
      </w:tr>
      <w:tr>
        <w:trPr>
          <w:cantSplit/>
        </w:trPr>
        <w:tc>
          <w:tcPr>
            <w:tcW w:w="1600" w:type="dxa"/>
            <w:vAlign w:val="top"/>
          </w:tcPr>
          <w:p>
            <w:pPr>
              <w:spacing w:before="60" w:after="40"/>
            </w:pPr>
            <w:r>
              <w:rPr>
                <w:rFonts w:ascii="Arial" w:hAnsi="Arial"/>
                <w:b/>
                <w:sz w:val="20"/>
                <w:szCs w:val="20"/>
              </w:rPr>
              <w:t xml:space="preserve">Named parts</w:t>
            </w:r>
          </w:p>
        </w:tc>
        <w:tc>
          <w:tcPr>
            <w:tcW w:w="4600" w:type="dxa"/>
            <w:vAlign w:val="top"/>
          </w:tcPr>
          <w:p>
            <w:pPr>
              <w:spacing w:before="60" w:after="40"/>
            </w:pPr>
            <w:r>
              <w:rPr>
                <w:rFonts w:ascii="Arial" w:hAnsi="Arial"/>
                <w:sz w:val="20"/>
                <w:szCs w:val="20"/>
              </w:rPr>
              <w:t xml:space="preserve">What are its parts — head, wing, neck, leg?</w:t>
            </w:r>
          </w:p>
        </w:tc>
        <w:tc>
          <w:tcPr>
            <w:tcW w:w="2260" w:type="dxa"/>
            <w:vAlign w:val="top"/>
          </w:tcPr>
          <w:p>
            <w:pPr>
              <w:spacing w:before="60" w:after="40"/>
            </w:pPr>
            <w:r>
              <w:rPr>
                <w:rFonts w:ascii="Arial" w:hAnsi="Arial"/>
                <w:sz w:val="20"/>
                <w:szCs w:val="20"/>
              </w:rPr>
              <w:t xml:space="preserve">Sangala Mosaic</w:t>
            </w:r>
          </w:p>
        </w:tc>
      </w:tr>
      <w:tr>
        <w:trPr>
          <w:cantSplit/>
        </w:trPr>
        <w:tc>
          <w:tcPr>
            <w:tcW w:w="1600" w:type="dxa"/>
            <w:vAlign w:val="top"/>
          </w:tcPr>
          <w:p>
            <w:pPr>
              <w:spacing w:before="60" w:after="40"/>
            </w:pPr>
            <w:r>
              <w:rPr>
                <w:rFonts w:ascii="Arial" w:hAnsi="Arial"/>
                <w:b/>
                <w:sz w:val="20"/>
                <w:szCs w:val="20"/>
              </w:rPr>
              <w:t xml:space="preserve">Relief</w:t>
            </w:r>
          </w:p>
        </w:tc>
        <w:tc>
          <w:tcPr>
            <w:tcW w:w="4600" w:type="dxa"/>
            <w:vAlign w:val="top"/>
          </w:tcPr>
          <w:p>
            <w:pPr>
              <w:spacing w:before="60" w:after="40"/>
            </w:pPr>
            <w:r>
              <w:rPr>
                <w:rFonts w:ascii="Arial" w:hAnsi="Arial"/>
                <w:sz w:val="20"/>
                <w:szCs w:val="20"/>
              </w:rPr>
              <w:t xml:space="preserve">How far forward does each part come?</w:t>
            </w:r>
          </w:p>
        </w:tc>
        <w:tc>
          <w:tcPr>
            <w:tcW w:w="2260" w:type="dxa"/>
            <w:vAlign w:val="top"/>
          </w:tcPr>
          <w:p>
            <w:pPr>
              <w:spacing w:before="60" w:after="40"/>
            </w:pPr>
            <w:r>
              <w:rPr>
                <w:rFonts w:ascii="Arial" w:hAnsi="Arial"/>
                <w:sz w:val="20"/>
                <w:szCs w:val="20"/>
              </w:rPr>
              <w:t xml:space="preserve">Sangala Studio</w:t>
            </w:r>
          </w:p>
        </w:tc>
      </w:tr>
      <w:tr>
        <w:trPr>
          <w:cantSplit/>
        </w:trPr>
        <w:tc>
          <w:tcPr>
            <w:tcW w:w="1600" w:type="dxa"/>
            <w:vAlign w:val="top"/>
          </w:tcPr>
          <w:p>
            <w:pPr>
              <w:spacing w:before="60" w:after="40"/>
            </w:pPr>
            <w:r>
              <w:rPr>
                <w:rFonts w:ascii="Arial" w:hAnsi="Arial"/>
                <w:b/>
                <w:sz w:val="20"/>
                <w:szCs w:val="20"/>
              </w:rPr>
              <w:t xml:space="preserve">Deep relief</w:t>
            </w:r>
          </w:p>
        </w:tc>
        <w:tc>
          <w:tcPr>
            <w:tcW w:w="4600" w:type="dxa"/>
            <w:vAlign w:val="top"/>
          </w:tcPr>
          <w:p>
            <w:pPr>
              <w:spacing w:before="60" w:after="40"/>
            </w:pPr>
            <w:r>
              <w:rPr>
                <w:rFonts w:ascii="Arial" w:hAnsi="Arial"/>
                <w:sz w:val="20"/>
                <w:szCs w:val="20"/>
              </w:rPr>
              <w:t xml:space="preserve">Which part stands in front of which?</w:t>
            </w:r>
          </w:p>
        </w:tc>
        <w:tc>
          <w:tcPr>
            <w:tcW w:w="2260" w:type="dxa"/>
            <w:vAlign w:val="top"/>
          </w:tcPr>
          <w:p>
            <w:pPr>
              <w:spacing w:before="60" w:after="40"/>
            </w:pPr>
            <w:r>
              <w:rPr>
                <w:rFonts w:ascii="Arial" w:hAnsi="Arial"/>
                <w:sz w:val="20"/>
                <w:szCs w:val="20"/>
              </w:rPr>
              <w:t xml:space="preserve">Sangala Studio</w:t>
            </w:r>
          </w:p>
        </w:tc>
      </w:tr>
      <w:tr>
        <w:trPr>
          <w:cantSplit/>
        </w:trPr>
        <w:tc>
          <w:tcPr>
            <w:tcW w:w="1600" w:type="dxa"/>
            <w:vAlign w:val="top"/>
          </w:tcPr>
          <w:p>
            <w:pPr>
              <w:spacing w:before="60" w:after="40"/>
            </w:pPr>
            <w:r>
              <w:rPr>
                <w:rFonts w:ascii="Arial" w:hAnsi="Arial"/>
                <w:b/>
                <w:sz w:val="20"/>
                <w:szCs w:val="20"/>
              </w:rPr>
              <w:t xml:space="preserve">In the round</w:t>
            </w:r>
          </w:p>
        </w:tc>
        <w:tc>
          <w:tcPr>
            <w:tcW w:w="4600" w:type="dxa"/>
            <w:vAlign w:val="top"/>
          </w:tcPr>
          <w:p>
            <w:pPr>
              <w:spacing w:before="60" w:after="40"/>
            </w:pPr>
            <w:r>
              <w:rPr>
                <w:rFonts w:ascii="Arial" w:hAnsi="Arial"/>
                <w:sz w:val="20"/>
                <w:szCs w:val="20"/>
              </w:rPr>
              <w:t xml:space="preserve">How wide is each part, and how do the parts meet?</w:t>
            </w:r>
          </w:p>
        </w:tc>
        <w:tc>
          <w:tcPr>
            <w:tcW w:w="2260" w:type="dxa"/>
            <w:vAlign w:val="top"/>
          </w:tcPr>
          <w:p>
            <w:pPr>
              <w:spacing w:before="60" w:after="40"/>
            </w:pPr>
            <w:r>
              <w:rPr>
                <w:rFonts w:ascii="Arial" w:hAnsi="Arial"/>
                <w:sz w:val="20"/>
                <w:szCs w:val="20"/>
              </w:rPr>
              <w:t xml:space="preserve">In brick, by hand</w:t>
            </w:r>
          </w:p>
        </w:tc>
      </w:tr>
    </w:tbl>
    <w:p>
      <w:pPr>
        <w:spacing w:before="0" w:after="0"/>
      </w:pPr>
      <w:r>
        <w:rPr>
          <w:rFonts w:ascii="Times New Roman" w:hAnsi="Times New Roman"/>
          <w:sz w:val="22"/>
          <w:szCs w:val="22"/>
        </w:rPr>
        <w:t xml:space="preserve"/>
      </w:r>
    </w:p>
    <w:p>
      <w:pPr>
        <w:spacing w:before="100" w:after="100"/>
      </w:pPr>
      <w:r>
        <w:rPr>
          <w:rFonts w:ascii="Times New Roman" w:hAnsi="Times New Roman"/>
          <w:sz w:val="22"/>
          <w:szCs w:val="22"/>
        </w:rPr>
        <w:t xml:space="preserve">The final rung is deliberately absent from the software. Whether a figure stands, balances and survives handling is determined by a physical object rather than by a drawing, and the physical prototype is where those questions are settled.</w:t>
      </w:r>
    </w:p>
    <w:p>
      <w:pPr>
        <w:keepNext/>
        <w:keepLines/>
        <w:spacing w:before="240" w:after="60"/>
      </w:pPr>
      <w:r>
        <w:rPr>
          <w:rFonts w:ascii="Times New Roman" w:hAnsi="Times New Roman"/>
          <w:b/>
          <w:sz w:val="26"/>
          <w:szCs w:val="26"/>
        </w:rPr>
        <w:t xml:space="preserve">The 8 mm Agreement</w:t>
      </w:r>
    </w:p>
    <w:p>
      <w:pPr>
        <w:spacing w:before="100" w:after="100"/>
      </w:pPr>
      <w:r>
        <w:rPr>
          <w:rFonts w:ascii="Times New Roman" w:hAnsi="Times New Roman"/>
          <w:sz w:val="22"/>
          <w:szCs w:val="22"/>
        </w:rPr>
        <w:t xml:space="preserve">The mosaic and the figure share one dimension, and it carries more of the method than any other quantity. A mosaic tile is 8 mm square. A LEGO stud sits 8 mm from the next. A tile is therefore a stud, and a count taken in the mosaic is a count in brick without conversion: a neck two tiles wide is a neck two studs wide.</w:t>
      </w:r>
    </w:p>
    <w:p>
      <w:pPr>
        <w:spacing w:before="100" w:after="100"/>
      </w:pPr>
      <w:r>
        <w:rPr>
          <w:rFonts w:ascii="Times New Roman" w:hAnsi="Times New Roman"/>
          <w:sz w:val="22"/>
          <w:szCs w:val="22"/>
        </w:rPr>
        <w:t xml:space="preserve">Height is the one place the two do not agree. A brick stands 9.6 mm rather than 8, so a brick is slightly taller than a stud is wide, and a plate is one third of a brick at 3.2 mm. Sangala Studio accordingly counts every three-dimensional height in plates rather than millimeters: a brick is 3, a plate is 1, and seating one brick upon another is 3 rather than 9.6. Millimeters are the unit of the printer; plates are the unit of the builder.</w:t>
      </w:r>
    </w:p>
    <w:p>
      <w:pPr>
        <w:keepNext/>
        <w:keepLines/>
        <w:spacing w:before="240" w:after="60"/>
      </w:pPr>
      <w:r>
        <w:rPr>
          <w:rFonts w:ascii="Times New Roman" w:hAnsi="Times New Roman"/>
          <w:b/>
          <w:sz w:val="26"/>
          <w:szCs w:val="26"/>
        </w:rPr>
        <w:t xml:space="preserve">Massing Rather Than Plan</w:t>
      </w:r>
    </w:p>
    <w:p>
      <w:pPr>
        <w:spacing w:before="100" w:after="100"/>
      </w:pPr>
      <w:r>
        <w:rPr>
          <w:rFonts w:ascii="Times New Roman" w:hAnsi="Times New Roman"/>
          <w:sz w:val="22"/>
          <w:szCs w:val="22"/>
        </w:rPr>
        <w:t xml:space="preserve">When a mosaic is opened in Sangala Studio, each named part becomes a separate solid, retaining its tile color and standing on the same 8 mm grid the mosaic used. Assigning a depth to each part converts the flat image into a relief, and then into a deep relief.</w:t>
      </w:r>
    </w:p>
    <w:p>
      <w:pPr>
        <w:spacing w:before="100" w:after="100"/>
      </w:pPr>
      <w:r>
        <w:rPr>
          <w:rFonts w:ascii="Times New Roman" w:hAnsi="Times New Roman"/>
          <w:sz w:val="22"/>
          <w:szCs w:val="22"/>
        </w:rPr>
        <w:t xml:space="preserve">The result is a </w:t>
      </w:r>
      <w:r>
        <w:rPr>
          <w:rFonts w:ascii="Times New Roman" w:hAnsi="Times New Roman"/>
          <w:i/>
          <w:sz w:val="22"/>
          <w:szCs w:val="22"/>
        </w:rPr>
        <w:t xml:space="preserve">massing model</w:t>
      </w:r>
      <w:r>
        <w:rPr>
          <w:rFonts w:ascii="Times New Roman" w:hAnsi="Times New Roman"/>
          <w:sz w:val="22"/>
          <w:szCs w:val="22"/>
        </w:rPr>
        <w:t xml:space="preserve">, and the distinction between a massing model and a construction plan is central to the approach. A massing model fixes proportion at brick scale, so that a body is six studs long and a neck is one stud wide and five bricks tall. It resolves depth order, which a flat mosaic cannot express at all. It supplies an object to work beside while the hands are occupied. What it does not do is specify which bricks to use.</w:t>
      </w:r>
    </w:p>
    <w:p>
      <w:pPr>
        <w:spacing w:before="100" w:after="100"/>
      </w:pPr>
      <w:r>
        <w:rPr>
          <w:rFonts w:ascii="Times New Roman" w:hAnsi="Times New Roman"/>
          <w:sz w:val="22"/>
          <w:szCs w:val="22"/>
        </w:rPr>
        <w:t xml:space="preserve">That boundary is the design decision on which the approach rests. Evidence for it comes from the pilot course, in which students produced a crane, a buffalo, a hippopotamus, a turaco and an elephant from a reference image and a supply of bricks, without piece-level instruction. Selecting the pieces constitutes the design work. A tool that made those selections would perform the exercise rather than support it.</w:t>
      </w:r>
    </w:p>
    <w:p>
      <w:pPr>
        <w:spacing w:before="100" w:after="100"/>
      </w:pPr>
      <w:r>
        <w:rPr>
          <w:rFonts w:ascii="Times New Roman" w:hAnsi="Times New Roman"/>
          <w:sz w:val="22"/>
          <w:szCs w:val="22"/>
        </w:rPr>
        <w:t xml:space="preserve">A further property of the massing emerges on inspection. Wherever the extruded model steps, the physical figure uses a shaped piece. The staircases are not an artifact to be tolerated but an indication of where slopes and wedges belong. The model does not identify which slope; it identifies the place and the size.</w:t>
      </w:r>
    </w:p>
    <w:p>
      <w:pPr>
        <w:keepNext/>
        <w:keepLines/>
        <w:spacing w:before="240" w:after="60"/>
      </w:pPr>
      <w:r>
        <w:rPr>
          <w:rFonts w:ascii="Times New Roman" w:hAnsi="Times New Roman"/>
          <w:b/>
          <w:sz w:val="26"/>
          <w:szCs w:val="26"/>
        </w:rPr>
        <w:t xml:space="preserve">Implementation</w:t>
      </w:r>
    </w:p>
    <w:p>
      <w:pPr>
        <w:spacing w:before="100" w:after="100"/>
      </w:pPr>
      <w:r>
        <w:rPr>
          <w:rFonts w:ascii="Times New Roman" w:hAnsi="Times New Roman"/>
          <w:sz w:val="22"/>
          <w:szCs w:val="22"/>
        </w:rPr>
        <w:t xml:space="preserve">Three capabilities support this manner of working.</w:t>
      </w:r>
    </w:p>
    <w:p>
      <w:pPr>
        <w:spacing w:before="0" w:after="60"/>
        <w:ind w:left="360" w:hanging="180"/>
      </w:pPr>
      <w:r>
        <w:rPr>
          <w:rFonts w:ascii="Times New Roman" w:hAnsi="Times New Roman"/>
          <w:sz w:val="22"/>
          <w:szCs w:val="22"/>
        </w:rPr>
        <w:t xml:space="preserve">•  A part may be designated a guide. It appears in the three-dimensional view so that construction can proceed inside it, and it is never exported and never cut. It is drawn only where no constructed part covers it, so that it reads as the silhouette still awaiting material and recedes as the build takes its place.</w:t>
      </w:r>
    </w:p>
    <w:p>
      <w:pPr>
        <w:spacing w:before="0" w:after="60"/>
        <w:ind w:left="360" w:hanging="180"/>
      </w:pPr>
      <w:r>
        <w:rPr>
          <w:rFonts w:ascii="Times New Roman" w:hAnsi="Times New Roman"/>
          <w:sz w:val="22"/>
          <w:szCs w:val="22"/>
        </w:rPr>
        <w:t xml:space="preserve">•  Stud alignment places a part on the 8 mm lattice as it is positioned or moved, so that parts register with one another and with the imported mosaic without adjustment.</w:t>
      </w:r>
    </w:p>
    <w:p>
      <w:pPr>
        <w:spacing w:before="0" w:after="60"/>
        <w:ind w:left="360" w:hanging="180"/>
      </w:pPr>
      <w:r>
        <w:rPr>
          <w:rFonts w:ascii="Times New Roman" w:hAnsi="Times New Roman"/>
          <w:sz w:val="22"/>
          <w:szCs w:val="22"/>
        </w:rPr>
        <w:t xml:space="preserve">•  A part palette offers the pieces directly, in place of deriving each one from a brick by numerical entry.</w:t>
      </w:r>
    </w:p>
    <w:p>
      <w:pPr>
        <w:spacing w:before="0" w:after="0"/>
      </w:pPr>
      <w:r>
        <w:rPr>
          <w:rFonts w:ascii="Times New Roman" w:hAnsi="Times New Roman"/>
          <w:sz w:val="22"/>
          <w:szCs w:val="22"/>
        </w:rPr>
        <w:t xml:space="preserve"/>
      </w:r>
    </w:p>
    <w:tbl>
      <w:tblPr>
        <w:tblW w:w="8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900"/>
        <w:gridCol w:w="4600"/>
        <w:gridCol w:w="1960"/>
      </w:tblGrid>
      <w:tr>
        <w:trPr>
          <w:cantSplit/>
          <w:tblHeader/>
        </w:trPr>
        <w:tc>
          <w:tcPr>
            <w:tcW w:w="8460" w:type="dxa"/>
            <w:gridSpan w:val="3"/>
            <w:vAlign w:val="top"/>
          </w:tcPr>
          <w:p>
            <w:pPr>
              <w:spacing w:before="60" w:after="40"/>
            </w:pPr>
            <w:r>
              <w:rPr>
                <w:rFonts w:ascii="Arial" w:hAnsi="Arial"/>
                <w:b/>
                <w:sz w:val="20"/>
                <w:szCs w:val="20"/>
              </w:rPr>
              <w:t xml:space="preserve">Table 2. The parts available for placement, and the construction of each.</w:t>
            </w:r>
          </w:p>
        </w:tc>
      </w:tr>
      <w:tr>
        <w:trPr>
          <w:cantSplit/>
          <w:tblHeader/>
        </w:trPr>
        <w:tc>
          <w:tcPr>
            <w:tcW w:w="19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4600" w:type="dxa"/>
            <w:tcBorders>
              <w:bottom w:val="double" w:sz="4" w:space="0" w:color="000000"/>
            </w:tcBorders>
            <w:vAlign w:val="top"/>
          </w:tcPr>
          <w:p>
            <w:pPr>
              <w:spacing w:before="60" w:after="40"/>
              <w:jc w:val="center"/>
            </w:pPr>
            <w:r>
              <w:rPr>
                <w:rFonts w:ascii="Arial" w:hAnsi="Arial"/>
                <w:i/>
                <w:sz w:val="20"/>
                <w:szCs w:val="20"/>
              </w:rPr>
              <w:t xml:space="preserve">Construction</w:t>
            </w:r>
          </w:p>
        </w:tc>
        <w:tc>
          <w:tcPr>
            <w:tcW w:w="1960" w:type="dxa"/>
            <w:tcBorders>
              <w:bottom w:val="double" w:sz="4" w:space="0" w:color="000000"/>
            </w:tcBorders>
            <w:vAlign w:val="top"/>
          </w:tcPr>
          <w:p>
            <w:pPr>
              <w:spacing w:before="60" w:after="40"/>
              <w:jc w:val="center"/>
            </w:pPr>
            <w:r>
              <w:rPr>
                <w:rFonts w:ascii="Arial" w:hAnsi="Arial"/>
                <w:i/>
                <w:sz w:val="20"/>
                <w:szCs w:val="20"/>
              </w:rPr>
              <w:t xml:space="preserve">Connection</w:t>
            </w:r>
          </w:p>
        </w:tc>
      </w:tr>
      <w:tr>
        <w:trPr>
          <w:cantSplit/>
        </w:trPr>
        <w:tc>
          <w:tcPr>
            <w:tcW w:w="1900" w:type="dxa"/>
            <w:vAlign w:val="top"/>
          </w:tcPr>
          <w:p>
            <w:pPr>
              <w:spacing w:before="60" w:after="40"/>
            </w:pPr>
            <w:r>
              <w:rPr>
                <w:rFonts w:ascii="Arial" w:hAnsi="Arial"/>
                <w:b/>
                <w:sz w:val="20"/>
                <w:szCs w:val="20"/>
              </w:rPr>
              <w:t xml:space="preserve">Brick</w:t>
            </w:r>
          </w:p>
        </w:tc>
        <w:tc>
          <w:tcPr>
            <w:tcW w:w="4600" w:type="dxa"/>
            <w:vAlign w:val="top"/>
          </w:tcPr>
          <w:p>
            <w:pPr>
              <w:spacing w:before="60" w:after="40"/>
            </w:pPr>
            <w:r>
              <w:rPr>
                <w:rFonts w:ascii="Arial" w:hAnsi="Arial"/>
                <w:sz w:val="20"/>
                <w:szCs w:val="20"/>
              </w:rPr>
              <w:t xml:space="preserve">Parametric, any columns × rows</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Plate</w:t>
            </w:r>
          </w:p>
        </w:tc>
        <w:tc>
          <w:tcPr>
            <w:tcW w:w="4600" w:type="dxa"/>
            <w:vAlign w:val="top"/>
          </w:tcPr>
          <w:p>
            <w:pPr>
              <w:spacing w:before="60" w:after="40"/>
            </w:pPr>
            <w:r>
              <w:rPr>
                <w:rFonts w:ascii="Arial" w:hAnsi="Arial"/>
                <w:sz w:val="20"/>
                <w:szCs w:val="20"/>
              </w:rPr>
              <w:t xml:space="preserve">The same, one plate in height</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Slope</w:t>
            </w:r>
          </w:p>
        </w:tc>
        <w:tc>
          <w:tcPr>
            <w:tcW w:w="4600" w:type="dxa"/>
            <w:vAlign w:val="top"/>
          </w:tcPr>
          <w:p>
            <w:pPr>
              <w:spacing w:before="60" w:after="40"/>
            </w:pPr>
            <w:r>
              <w:rPr>
                <w:rFonts w:ascii="Arial" w:hAnsi="Arial"/>
                <w:sz w:val="20"/>
                <w:szCs w:val="20"/>
              </w:rPr>
              <w:t xml:space="preserve">The same, front row falling to the base</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Inverted slope</w:t>
            </w:r>
          </w:p>
        </w:tc>
        <w:tc>
          <w:tcPr>
            <w:tcW w:w="4600" w:type="dxa"/>
            <w:vAlign w:val="top"/>
          </w:tcPr>
          <w:p>
            <w:pPr>
              <w:spacing w:before="60" w:after="40"/>
            </w:pPr>
            <w:r>
              <w:rPr>
                <w:rFonts w:ascii="Arial" w:hAnsi="Arial"/>
                <w:sz w:val="20"/>
                <w:szCs w:val="20"/>
              </w:rPr>
              <w:t xml:space="preserve">The same, underside falling away instead</w:t>
            </w:r>
          </w:p>
        </w:tc>
        <w:tc>
          <w:tcPr>
            <w:tcW w:w="1960" w:type="dxa"/>
            <w:vAlign w:val="top"/>
          </w:tcPr>
          <w:p>
            <w:pPr>
              <w:spacing w:before="60" w:after="40"/>
            </w:pPr>
            <w:r>
              <w:rPr>
                <w:rFonts w:ascii="Arial" w:hAnsi="Arial"/>
                <w:sz w:val="20"/>
                <w:szCs w:val="20"/>
              </w:rPr>
              <w:t xml:space="preserve">Studs and tubes</w:t>
            </w:r>
          </w:p>
        </w:tc>
      </w:tr>
      <w:tr>
        <w:trPr>
          <w:cantSplit/>
        </w:trPr>
        <w:tc>
          <w:tcPr>
            <w:tcW w:w="1900" w:type="dxa"/>
            <w:vAlign w:val="top"/>
          </w:tcPr>
          <w:p>
            <w:pPr>
              <w:spacing w:before="60" w:after="40"/>
            </w:pPr>
            <w:r>
              <w:rPr>
                <w:rFonts w:ascii="Arial" w:hAnsi="Arial"/>
                <w:b/>
                <w:sz w:val="20"/>
                <w:szCs w:val="20"/>
              </w:rPr>
              <w:t xml:space="preserve">Round brick</w:t>
            </w:r>
          </w:p>
        </w:tc>
        <w:tc>
          <w:tcPr>
            <w:tcW w:w="4600" w:type="dxa"/>
            <w:vAlign w:val="top"/>
          </w:tcPr>
          <w:p>
            <w:pPr>
              <w:spacing w:before="60" w:after="40"/>
            </w:pPr>
            <w:r>
              <w:rPr>
                <w:rFonts w:ascii="Arial" w:hAnsi="Arial"/>
                <w:sz w:val="20"/>
                <w:szCs w:val="20"/>
              </w:rPr>
              <w:t xml:space="preserve">A circle extruded</w:t>
            </w:r>
          </w:p>
        </w:tc>
        <w:tc>
          <w:tcPr>
            <w:tcW w:w="1960" w:type="dxa"/>
            <w:vAlign w:val="top"/>
          </w:tcPr>
          <w:p>
            <w:pPr>
              <w:spacing w:before="60" w:after="40"/>
            </w:pPr>
            <w:r>
              <w:rPr>
                <w:rFonts w:ascii="Arial" w:hAnsi="Arial"/>
                <w:sz w:val="20"/>
                <w:szCs w:val="20"/>
              </w:rPr>
              <w:t xml:space="preserve">Studs</w:t>
            </w:r>
          </w:p>
        </w:tc>
      </w:tr>
      <w:tr>
        <w:trPr>
          <w:cantSplit/>
        </w:trPr>
        <w:tc>
          <w:tcPr>
            <w:tcW w:w="1900" w:type="dxa"/>
            <w:vAlign w:val="top"/>
          </w:tcPr>
          <w:p>
            <w:pPr>
              <w:spacing w:before="60" w:after="40"/>
            </w:pPr>
            <w:r>
              <w:rPr>
                <w:rFonts w:ascii="Arial" w:hAnsi="Arial"/>
                <w:b/>
                <w:sz w:val="20"/>
                <w:szCs w:val="20"/>
              </w:rPr>
              <w:t xml:space="preserve">Cone</w:t>
            </w:r>
          </w:p>
        </w:tc>
        <w:tc>
          <w:tcPr>
            <w:tcW w:w="4600" w:type="dxa"/>
            <w:vAlign w:val="top"/>
          </w:tcPr>
          <w:p>
            <w:pPr>
              <w:spacing w:before="60" w:after="40"/>
            </w:pPr>
            <w:r>
              <w:rPr>
                <w:rFonts w:ascii="Arial" w:hAnsi="Arial"/>
                <w:sz w:val="20"/>
                <w:szCs w:val="20"/>
              </w:rPr>
              <w:t xml:space="preserve">A circle with its rim drawn inward</w:t>
            </w:r>
          </w:p>
        </w:tc>
        <w:tc>
          <w:tcPr>
            <w:tcW w:w="1960" w:type="dxa"/>
            <w:vAlign w:val="top"/>
          </w:tcPr>
          <w:p>
            <w:pPr>
              <w:spacing w:before="60" w:after="40"/>
            </w:pPr>
            <w:r>
              <w:rPr>
                <w:rFonts w:ascii="Arial" w:hAnsi="Arial"/>
                <w:sz w:val="20"/>
                <w:szCs w:val="20"/>
              </w:rPr>
              <w:t xml:space="preserve">—</w:t>
            </w:r>
          </w:p>
        </w:tc>
      </w:tr>
      <w:tr>
        <w:trPr>
          <w:cantSplit/>
        </w:trPr>
        <w:tc>
          <w:tcPr>
            <w:tcW w:w="1900" w:type="dxa"/>
            <w:vAlign w:val="top"/>
          </w:tcPr>
          <w:p>
            <w:pPr>
              <w:spacing w:before="60" w:after="40"/>
            </w:pPr>
            <w:r>
              <w:rPr>
                <w:rFonts w:ascii="Arial" w:hAnsi="Arial"/>
                <w:b/>
                <w:sz w:val="20"/>
                <w:szCs w:val="20"/>
              </w:rPr>
              <w:t xml:space="preserve">Wedge plate</w:t>
            </w:r>
          </w:p>
        </w:tc>
        <w:tc>
          <w:tcPr>
            <w:tcW w:w="4600" w:type="dxa"/>
            <w:vAlign w:val="top"/>
          </w:tcPr>
          <w:p>
            <w:pPr>
              <w:spacing w:before="60" w:after="40"/>
            </w:pPr>
            <w:r>
              <w:rPr>
                <w:rFonts w:ascii="Arial" w:hAnsi="Arial"/>
                <w:sz w:val="20"/>
                <w:szCs w:val="20"/>
              </w:rPr>
              <w:t xml:space="preserve">A trapezoid extruded</w:t>
            </w:r>
          </w:p>
        </w:tc>
        <w:tc>
          <w:tcPr>
            <w:tcW w:w="1960" w:type="dxa"/>
            <w:vAlign w:val="top"/>
          </w:tcPr>
          <w:p>
            <w:pPr>
              <w:spacing w:before="60" w:after="40"/>
            </w:pPr>
            <w:r>
              <w:rPr>
                <w:rFonts w:ascii="Arial" w:hAnsi="Arial"/>
                <w:sz w:val="20"/>
                <w:szCs w:val="20"/>
              </w:rPr>
              <w:t xml:space="preserve">Studs</w:t>
            </w:r>
          </w:p>
        </w:tc>
      </w:tr>
    </w:tbl>
    <w:p>
      <w:pPr>
        <w:spacing w:before="0" w:after="0"/>
      </w:pPr>
      <w:r>
        <w:rPr>
          <w:rFonts w:ascii="Times New Roman" w:hAnsi="Times New Roman"/>
          <w:sz w:val="22"/>
          <w:szCs w:val="22"/>
        </w:rPr>
        <w:t xml:space="preserve"/>
      </w:r>
    </w:p>
    <w:p>
      <w:pPr>
        <w:spacing w:before="100" w:after="100"/>
      </w:pPr>
      <w:r>
        <w:rPr>
          <w:rFonts w:ascii="Times New Roman" w:hAnsi="Times New Roman"/>
          <w:sz w:val="22"/>
          <w:szCs w:val="22"/>
        </w:rPr>
        <w:t xml:space="preserve">The four parametric parts carry working clutch — studs above and anti-stud tubes beneath — at a clearance validated in print during the pilot. A slope omits the studs on its sloped row, that row having no flat surface to carry one; an inverted slope retains all of them, its upper surface remaining whole.</w:t>
      </w:r>
    </w:p>
    <w:p>
      <w:pPr>
        <w:keepNext/>
        <w:keepLines/>
        <w:spacing w:before="240" w:after="60"/>
      </w:pPr>
      <w:r>
        <w:rPr>
          <w:rFonts w:ascii="Times New Roman" w:hAnsi="Times New Roman"/>
          <w:b/>
          <w:sz w:val="26"/>
          <w:szCs w:val="26"/>
        </w:rPr>
        <w:t xml:space="preserve">Observations From a Physical Figure</w:t>
      </w:r>
    </w:p>
    <w:p>
      <w:pPr>
        <w:spacing w:before="100" w:after="100"/>
      </w:pPr>
      <w:r>
        <w:rPr>
          <w:rFonts w:ascii="Times New Roman" w:hAnsi="Times New Roman"/>
          <w:sz w:val="22"/>
          <w:szCs w:val="22"/>
        </w:rPr>
        <w:t xml:space="preserve">A part-by-part reading of a crane figure built during the pilot produced three observations bearing on what students should be told.</w:t>
      </w:r>
    </w:p>
    <w:p>
      <w:pPr>
        <w:spacing w:before="100" w:after="100"/>
      </w:pPr>
      <w:r>
        <w:rPr>
          <w:rFonts w:ascii="Times New Roman" w:hAnsi="Times New Roman"/>
          <w:sz w:val="22"/>
          <w:szCs w:val="22"/>
        </w:rPr>
        <w:t xml:space="preserve">Material availability determines much of the color scheme, and this is an ordinary condition rather than a compromise. The tail places a black slope beneath a gray one, and the body combines white, gray and black within a single surface. These were not selections but the contents of the supply at hand.</w:t>
      </w:r>
    </w:p>
    <w:p>
      <w:pPr>
        <w:spacing w:before="100" w:after="100"/>
      </w:pPr>
      <w:r>
        <w:rPr>
          <w:rFonts w:ascii="Times New Roman" w:hAnsi="Times New Roman"/>
          <w:sz w:val="22"/>
          <w:szCs w:val="22"/>
        </w:rPr>
        <w:t xml:space="preserve">The beak is a slope stopping short of a point, leaving a small upright wall, because no wedge in the supply came to a point. A pointed beak would have served equally well. The case states the relation between the two chapters concerned: the brick vocabulary is finite and a designer approximates within it, whereas the printed vocabulary is not, and an approximation may become the form intended.</w:t>
      </w:r>
    </w:p>
    <w:p>
      <w:pPr>
        <w:spacing w:before="100" w:after="100"/>
      </w:pPr>
      <w:r>
        <w:rPr>
          <w:rFonts w:ascii="Times New Roman" w:hAnsi="Times New Roman"/>
          <w:sz w:val="22"/>
          <w:szCs w:val="22"/>
        </w:rPr>
        <w:t xml:space="preserve">The figure follows a consistent structural principle. The body is a plain rectangular core, with shaped pieces resting upon it and mounted at its sides. Nothing structural is shaped, and nothing shaped is structural. Blocking out the mass first and shaping the surface afterward yields a recognizable figure at every stage of assembly, rather than a negotiation between form and strength at each course.</w:t>
      </w:r>
    </w:p>
    <w:p>
      <w:pPr>
        <w:keepNext/>
        <w:keepLines/>
        <w:spacing w:before="240" w:after="60"/>
      </w:pPr>
      <w:r>
        <w:rPr>
          <w:rFonts w:ascii="Times New Roman" w:hAnsi="Times New Roman"/>
          <w:b/>
          <w:sz w:val="26"/>
          <w:szCs w:val="26"/>
        </w:rPr>
        <w:t xml:space="preserve">Open Questions</w:t>
      </w:r>
    </w:p>
    <w:p>
      <w:pPr>
        <w:spacing w:before="100" w:after="100"/>
      </w:pPr>
      <w:r>
        <w:rPr>
          <w:rFonts w:ascii="Times New Roman" w:hAnsi="Times New Roman"/>
          <w:sz w:val="22"/>
          <w:szCs w:val="22"/>
        </w:rPr>
        <w:t xml:space="preserve">Several questions bear on the design and are best settled in practice.</w:t>
      </w:r>
    </w:p>
    <w:p>
      <w:pPr>
        <w:spacing w:before="0" w:after="60"/>
        <w:ind w:left="360" w:hanging="180"/>
      </w:pPr>
      <w:r>
        <w:rPr>
          <w:rFonts w:ascii="Times New Roman" w:hAnsi="Times New Roman"/>
          <w:sz w:val="22"/>
          <w:szCs w:val="22"/>
        </w:rPr>
        <w:t xml:space="preserve">•  Whether construction against a massing guide corresponds to the way figures are built in practice, given that the pilot proceeded from a rendered reference image and a supply of bricks.</w:t>
      </w:r>
    </w:p>
    <w:p>
      <w:pPr>
        <w:spacing w:before="0" w:after="60"/>
        <w:ind w:left="360" w:hanging="180"/>
      </w:pPr>
      <w:r>
        <w:rPr>
          <w:rFonts w:ascii="Times New Roman" w:hAnsi="Times New Roman"/>
          <w:sz w:val="22"/>
          <w:szCs w:val="22"/>
        </w:rPr>
        <w:t xml:space="preserve">•  Whether one depth per named part is sufficient granularity. A physical figure varies in depth within a single part, as the crane's body does.</w:t>
      </w:r>
    </w:p>
    <w:p>
      <w:pPr>
        <w:spacing w:before="0" w:after="60"/>
        <w:ind w:left="360" w:hanging="180"/>
      </w:pPr>
      <w:r>
        <w:rPr>
          <w:rFonts w:ascii="Times New Roman" w:hAnsi="Times New Roman"/>
          <w:sz w:val="22"/>
          <w:szCs w:val="22"/>
        </w:rPr>
        <w:t xml:space="preserve">•  Whether a per-piece STL export suits the printers in use. A wide, frontal animal at 8 mm per stud measures approximately 230 mm across, exceeding the 180 mm bed of the Bambu Lab A1 mini. Pose, grid size or scale must accommodate the difference.</w:t>
      </w:r>
    </w:p>
    <w:p>
      <w:pPr>
        <w:spacing w:before="0" w:after="60"/>
        <w:ind w:left="360" w:hanging="180"/>
      </w:pPr>
      <w:r>
        <w:rPr>
          <w:rFonts w:ascii="Times New Roman" w:hAnsi="Times New Roman"/>
          <w:sz w:val="22"/>
          <w:szCs w:val="22"/>
        </w:rPr>
        <w:t xml:space="preserve">•  Whether two shapes warrant direct support: a tilted top, and a piece tapering on both its upper and lower surfaces. Both may be produced by Boolean subtraction, but neither is available from the slope controls.</w:t>
      </w:r>
    </w:p>
    <w:p>
      <w:pPr>
        <w:spacing w:before="0" w:after="60"/>
        <w:ind w:left="360" w:hanging="180"/>
      </w:pPr>
      <w:r>
        <w:rPr>
          <w:rFonts w:ascii="Times New Roman" w:hAnsi="Times New Roman"/>
          <w:sz w:val="22"/>
          <w:szCs w:val="22"/>
        </w:rPr>
        <w:t xml:space="preserve">•  What a written build instruction must contain to be usable by a team that cannot question its author, the case that arises when one group documents a figure for another to assemble.</w:t>
      </w:r>
    </w:p>
    <w:p>
      <w:pPr>
        <w:keepNext/>
        <w:keepLines/>
        <w:spacing w:before="240" w:after="60"/>
      </w:pPr>
      <w:r>
        <w:rPr>
          <w:rFonts w:ascii="Times New Roman" w:hAnsi="Times New Roman"/>
          <w:b/>
          <w:sz w:val="26"/>
          <w:szCs w:val="26"/>
        </w:rPr>
        <w:t xml:space="preserve">Status</w:t>
      </w:r>
    </w:p>
    <w:p>
      <w:pPr>
        <w:spacing w:before="100" w:after="100"/>
      </w:pPr>
      <w:r>
        <w:rPr>
          <w:rFonts w:ascii="Times New Roman" w:hAnsi="Times New Roman"/>
          <w:sz w:val="22"/>
          <w:szCs w:val="22"/>
        </w:rPr>
        <w:t xml:space="preserve">The mosaic application and its part-grouping tools are in classroom use. The import path into Sangala Studio, the massing guide, stud alignment and the part palette are implemented and verified against test files. The three-dimensional workflow has not yet been exercised by students.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