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How the 3D view is drawn</w:t>
      </w:r>
    </w:p>
    <w:p>
      <w:pPr>
        <w:pStyle w:val="NormalWeb"/>
        <w:spacing w:before="100" w:beforeAutospacing="0" w:after="100" w:afterAutospacing="0"/>
        <w:rPr>
          <w:szCs w:val="22"/>
        </w:rPr>
      </w:pPr>
      <w:r>
        <w:rPr>
          <w:szCs w:val="22"/>
        </w:rPr>
        <w:t xml:space="preserve">The 3D View is rasterized in the page itself, on an ordinary canvas. </w:t>
      </w:r>
      <w:r>
        <w:rPr>
          <w:rFonts w:ascii="Consolas" w:hAnsi="Consolas"/>
          <w:szCs w:val="22"/>
        </w:rPr>
        <w:t xml:space="preserve">renderPreview()</w:t>
      </w:r>
      <w:r>
        <w:rPr>
          <w:szCs w:val="22"/>
        </w:rPr>
        <w:t xml:space="preserve"> projects each triangle orthographically, discards the ones facing away, and fills the rest through a depth buffer held per pixel rather than by sorting whole triangles: a stud sorted against the large face it sits on is ordered wrongly and paints over it. Two further buffers are written in the same pass — the number of the piece that won each pixel, and that surface's normal packed into three bytes — and the drawing conventions below are read back from them.</w:t>
      </w:r>
    </w:p>
    <w:p>
      <w:pPr>
        <w:pStyle w:val="NormalWeb"/>
        <w:spacing w:before="100" w:beforeAutospacing="0" w:after="100" w:afterAutospacing="0"/>
        <w:rPr>
          <w:szCs w:val="22"/>
        </w:rPr>
      </w:pPr>
      <w:r>
        <w:rPr>
          <w:szCs w:val="22"/>
        </w:rPr>
        <w:t xml:space="preserve">A face is filled with one of three fixed tones, chosen by how squarely it faces the light: the piece color at full strength, at 0.80, and at 0.62. Three flat tones separate one face of a part from the next in a way a continuous gradient does not, which is the convention of a technical drawing rather than of a photograph. The cost is that a curved surface bands into three stripes, accepted deliberately for work that is mostly rectangular; the threshold on the crease test below is what keeps a faceted cone from also acquiring contour lines.</w:t>
      </w:r>
    </w:p>
    <w:p>
      <w:pPr>
        <w:pStyle w:val="NormalWeb"/>
        <w:spacing w:before="100" w:beforeAutospacing="0" w:after="100" w:afterAutospacing="0"/>
        <w:rPr>
          <w:szCs w:val="22"/>
        </w:rPr>
      </w:pPr>
      <w:r>
        <w:rPr>
          <w:szCs w:val="22"/>
        </w:rPr>
        <w:t xml:space="preserve">An outline is drawn where any of four conditions holds at a pixel's neighbor: the neighbor is background, which is the object's silhouette; the depth falls away by more than a flat face could account for at that camera angle, which is a stud rim or a step; the neighbor belongs to a different piece, which is the seam where two parts rest flush and where no depth cliff exists; or the neighbor lies on the same piece but its normal turns more than about 32 degrees away, which is a crease — the fold where two faces of one part meet, such as the edge between a box's top and its side.</w:t>
      </w:r>
    </w:p>
    <w:p>
      <w:pPr>
        <w:pStyle w:val="NormalWeb"/>
        <w:spacing w:before="100" w:beforeAutospacing="0" w:after="100" w:afterAutospacing="0"/>
        <w:rPr>
          <w:szCs w:val="22"/>
        </w:rPr>
      </w:pPr>
      <w:r>
        <w:rPr>
          <w:szCs w:val="22"/>
        </w:rPr>
        <w:t xml:space="preserve">The lines are drawn at two weights, because a drawing in which the silhouette is no heavier than an interior fold reads flat however correct it is. The silhouette darkens the pixel to 0.35 of its color and is widened by one pixel inward, never outward, so that an object does not grow as it turns. Creases, seams, and depth cliffs take 0.55 at a single pixel. The marks are collected into one byte per pixel and applied afterward, since darkening in place would compound wherever two of the conditions fell on the same pixel.</w:t>
      </w:r>
    </w:p>
    <w:p>
      <w:pPr>
        <w:pStyle w:val="NormalWeb"/>
        <w:spacing w:before="100" w:beforeAutospacing="0" w:after="100" w:afterAutospacing="0"/>
        <w:rPr>
          <w:szCs w:val="22"/>
        </w:rPr>
      </w:pPr>
      <w:r>
        <w:rPr>
          <w:szCs w:val="22"/>
        </w:rPr>
        <w:t xml:space="preserve">A part wears the color given to its shape in the 2D view, held in </w:t>
      </w:r>
      <w:r>
        <w:rPr>
          <w:rFonts w:ascii="Consolas" w:hAnsi="Consolas"/>
          <w:szCs w:val="22"/>
        </w:rPr>
        <w:t xml:space="preserve">data-fill</w:t>
      </w:r>
      <w:r>
        <w:rPr>
          <w:szCs w:val="22"/>
        </w:rPr>
        <w:t xml:space="preserve">. A piece with no color of its own takes the next entry in a fixed cycle, which is what makes separate pieces distinguishable and lets a combine be seen to have taken. The color is a property of the drawing only: an STL carries none, so a printed part is whatever filament is loaded.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data-fill</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color the part wears in the 3D view</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and Position to zero,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