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0EB868C" w:rsidP="7B21BF7C" w:rsidRDefault="30EB868C" w14:paraId="736929EB" w14:textId="0CCB06E6">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Checkpoint 1</w:t>
      </w:r>
    </w:p>
    <w:p w:rsidR="30EB868C" w:rsidP="7B21BF7C" w:rsidRDefault="30EB868C" w14:paraId="1BF49C1D" w14:textId="4B6F6AA2">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Alyssa Miller, Anima </w:t>
      </w:r>
      <w:r w:rsidRPr="7B21BF7C" w:rsidR="77D642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Upadhyay</w:t>
      </w: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Glen Williams</w:t>
      </w:r>
    </w:p>
    <w:p w:rsidR="30EB868C" w:rsidP="7B21BF7C" w:rsidRDefault="30EB868C" w14:paraId="0C70A468" w14:textId="041E1CB6">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 Analysis from Scratch - BSAD 8330</w:t>
      </w:r>
    </w:p>
    <w:p w:rsidR="30EB868C" w:rsidP="7B21BF7C" w:rsidRDefault="30EB868C" w14:paraId="3A1C2C1E" w14:textId="643A39DE">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Dr. Ben Smith</w:t>
      </w:r>
    </w:p>
    <w:p w:rsidR="30EB868C" w:rsidP="7B21BF7C" w:rsidRDefault="30EB868C" w14:paraId="02251BB0" w14:textId="3E3C54AE">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29/October/202</w:t>
      </w:r>
      <w:r w:rsidRPr="7B21BF7C" w:rsidR="5E760DA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w:t>
      </w:r>
    </w:p>
    <w:p w:rsidR="30EB868C" w:rsidP="7B21BF7C" w:rsidRDefault="30EB868C" w14:paraId="3B4C80B1" w14:textId="7DEA2C7E">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Literature Review:</w:t>
      </w:r>
    </w:p>
    <w:p w:rsidR="30EB868C" w:rsidP="7B21BF7C" w:rsidRDefault="30EB868C" w14:paraId="3A2F54F1" w14:textId="514D8B33">
      <w:pPr>
        <w:pStyle w:val="Normal"/>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better approach our own research, it is helpful to examine the findings and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w:t>
      </w:r>
      <w:r w:rsidRPr="7B21BF7C" w:rsidR="3F620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paper</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will briefly review existing literature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retention efforts in higher education. At the center of the conversation on how to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retain</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w:t>
      </w:r>
      <w:r w:rsidRPr="7B21BF7C" w:rsidR="61BFF5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E7EC0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attempting</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understand why they leave. From the literature reviewed,</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systems perspective that acknowledges student retention as a product of interactions with environmental, social, and behavioral factors</w:t>
      </w:r>
      <w:r w:rsidRPr="7B21BF7C" w:rsidR="252AEA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commonly addressed</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163569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Multiple</w:t>
      </w:r>
      <w:r w:rsidRPr="7B21BF7C" w:rsidR="163569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studies posit that student involvement with the campus environment helps drive academic success.</w:t>
      </w:r>
    </w:p>
    <w:p w:rsidR="30EB868C" w:rsidP="7B21BF7C" w:rsidRDefault="30EB868C" w14:paraId="74CA6D9B" w14:textId="5A2543D5">
      <w:pP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Background:</w:t>
      </w:r>
    </w:p>
    <w:p w:rsidR="30EB868C" w:rsidP="7B21BF7C" w:rsidRDefault="30EB868C" w14:paraId="7B0BD204" w14:textId="4570CE5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following articles influenced our understanding of the problem of student retention in higher education</w:t>
      </w:r>
      <w:r w:rsidRPr="7B21BF7C" w:rsidR="30F4A8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0F4A838" w:rsidP="7B21BF7C" w:rsidRDefault="30F4A838" w14:paraId="7517A500" w14:textId="3343FCEB">
      <w:pPr>
        <w:pStyle w:val="Normal"/>
        <w:spacing w:before="0" w:beforeAutospacing="off" w:after="160" w:afterAutospacing="off" w:line="276" w:lineRule="auto"/>
        <w:ind w:firstLine="720"/>
        <w:rPr>
          <w:rFonts w:ascii="Times New Roman" w:hAnsi="Times New Roman" w:eastAsia="Times New Roman" w:cs="Times New Roman"/>
          <w:sz w:val="24"/>
          <w:szCs w:val="24"/>
        </w:rPr>
      </w:pPr>
      <w:r w:rsidRPr="7B21BF7C" w:rsidR="30F4A838">
        <w:rPr>
          <w:rFonts w:ascii="Times New Roman" w:hAnsi="Times New Roman" w:eastAsia="Times New Roman" w:cs="Times New Roman"/>
          <w:noProof w:val="0"/>
          <w:sz w:val="24"/>
          <w:szCs w:val="24"/>
          <w:lang w:val="en-US"/>
        </w:rPr>
        <w:t>The article “First-Year Students’ Background and Academic Achievement: The Mediating Role of Student Engagement” by Ribeiro et al. (2019) examines how students’ prior academic preparation and sociocultural background affect their first-year university performance. Using data from 380 Portuguese students, the researchers found that student engagement, particularly deep learning strategies, study time, and class attendance, serves as a critical link between academic preparation and achievement. Students who entered college with more college preparation tended to engage more deeply and perform better academically. Sociocultural status had less immediate influence but became more relevant over time as learning approaches developed. The authors emphasize that universities should promote early engagement strategies to support students with weaker preparation and enhance academic success.</w:t>
      </w:r>
    </w:p>
    <w:p w:rsidR="30EB868C" w:rsidP="7B21BF7C" w:rsidRDefault="30EB868C" w14:paraId="6725AF50" w14:textId="61EC6376">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Mrkich</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Pantazes, &amp; Marano (2021)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discusses</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impact of a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 year</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experience seminar focused on improving retention</w:t>
      </w:r>
      <w:r w:rsidRPr="7B21BF7C" w:rsidR="493DE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seminar worked to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w:t>
      </w:r>
      <w:r w:rsidRPr="7B21BF7C" w:rsidR="3F7F17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into the campus community</w:t>
      </w:r>
      <w:r w:rsidRPr="7B21BF7C" w:rsidR="2FD942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teach them good study habits</w:t>
      </w:r>
      <w:r w:rsidRPr="7B21BF7C" w:rsidR="25DCF6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introduc</w:t>
      </w:r>
      <w:r w:rsidRPr="7B21BF7C" w:rsidR="64478B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them to foundational principles of disciplinary studies. The authors describe the importance of approaching this challenge as a “system-wide effort and integrating university wide buy-in from the top to the classroom.”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Implemented as a revised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general education curriculum in 2019, West Chester University’s FYE program has shown to be effective despite external challenges in the period between 2019 and 2021.</w:t>
      </w:r>
    </w:p>
    <w:p w:rsidR="362D18B4" w:rsidP="7B21BF7C" w:rsidRDefault="362D18B4" w14:paraId="6C40AA89" w14:textId="4696598E">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article, </w:t>
      </w:r>
      <w:r w:rsidRPr="7B21BF7C" w:rsidR="362D18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“Student Retention Models in Higher Education: A Literature Review,”</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Burke (2019) emphasizes that social interaction and engagement are crucial determinants of student retention, drawing on three foundational models: Spady’s (1970, 1971) Undergraduate Dropout Process Model, Tinto’s (1975, 1993) Institutional Departure Model, and Bean’s (1980, 1982) Student Attrition Model. These frameworks connect student persistence to both academic and social integration, suggesting that satisfaction and institutional commitment are shaped by meaningful relationships and engagement opportunities, particularly during the critical first and second years of college.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Subsequent</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reinforce this perspective,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demonstrating</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strong sense</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belonging, cultivated through cohort models, living-learning communities, honors programs, and intrusive advising</w:t>
      </w:r>
      <w:r w:rsidRPr="7B21BF7C" w:rsidR="31680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significantly enhances retention and academic success. Similarly,</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author </w:t>
      </w:r>
      <w:r w:rsidRPr="7B21BF7C" w:rsidR="123798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suggests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students who feel connected to their institution are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substantially more</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likely to persist from their first to second year, underscoring the vital role of social integration in promoting long-term academic commitment.</w:t>
      </w:r>
    </w:p>
    <w:p w:rsidR="362D18B4" w:rsidP="7B21BF7C" w:rsidRDefault="362D18B4" w14:paraId="2A9B0359" w14:textId="54F2DC40">
      <w:pPr>
        <w:spacing w:before="240" w:beforeAutospacing="off" w:after="24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U.S. Department of Education’s (2021) report </w:t>
      </w:r>
      <w:r w:rsidRPr="7B21BF7C" w:rsidR="362D18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“Postsecondary Degree Completion Rates Among Students on the Upward Bound/Upward Bound Math-Science to Student Support Services Pathway”</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found that students who participated in programs such as Upward Bound (UB/UBMS) and Student Support Services (SSS) had higher postsecondary degree completion rates than those who did not. This positive association was consistent across both 2-year and 4-year institutions, with the greatest gains observed among part-time and community college students. Although the results are descriptive rather than causal, the findings underscore the importance of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continuous academic and social support</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improving degree attainment for low-income and first-generation college students. This suggests that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learning communities such as First-Year Experience programs, can play a similar role by helping students understand the academic environment, develop socially within academia, and build a sense of belonging</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ultimately enhanci</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62D18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 retention and persistence in higher education.</w:t>
      </w:r>
    </w:p>
    <w:p w:rsidR="7B21BF7C" w:rsidP="7B21BF7C" w:rsidRDefault="7B21BF7C" w14:paraId="5A090738" w14:textId="140AF40A">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EB868C" w:rsidP="7B21BF7C" w:rsidRDefault="30EB868C" w14:paraId="500CF41B" w14:textId="79E31228">
      <w:pP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Methodology:</w:t>
      </w:r>
    </w:p>
    <w:p w:rsidR="30EB868C" w:rsidP="7B21BF7C" w:rsidRDefault="30EB868C" w14:paraId="19D2C51C" w14:textId="1BE3D1C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following articles influenced how we formulated our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B21BF7C" w:rsidR="727874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better understand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effectiveness of FYE programs in improving academic retention</w:t>
      </w:r>
      <w:r w:rsidRPr="7B21BF7C" w:rsidR="53423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C0DA504" w:rsidP="7B21BF7C" w:rsidRDefault="0C0DA504" w14:paraId="671D2273" w14:textId="663E589C">
      <w:pPr>
        <w:pStyle w:val="Normal"/>
        <w:ind w:firstLine="720"/>
        <w:rPr>
          <w:rFonts w:ascii="Times New Roman" w:hAnsi="Times New Roman" w:eastAsia="Times New Roman" w:cs="Times New Roman"/>
          <w:noProof w:val="0"/>
          <w:sz w:val="24"/>
          <w:szCs w:val="24"/>
          <w:lang w:val="en-US"/>
        </w:rPr>
      </w:pPr>
      <w:commentRangeStart w:id="267422912"/>
      <w:r w:rsidRPr="7B21BF7C" w:rsidR="0C0DA504">
        <w:rPr>
          <w:rFonts w:ascii="Times New Roman" w:hAnsi="Times New Roman" w:eastAsia="Times New Roman" w:cs="Times New Roman"/>
          <w:noProof w:val="0"/>
          <w:sz w:val="24"/>
          <w:szCs w:val="24"/>
          <w:lang w:val="en-US"/>
        </w:rPr>
        <w:t>The article “Exploring the Relationship between First-Year Seminars and Student Success Outcomes: A Narrative Literature Review” by Christine Harrington (2025) reviews research from 2014–2024 on how first-year seminar (FYS) courses influence college student outcomes</w:t>
      </w:r>
      <w:r w:rsidRPr="7B21BF7C" w:rsidR="0C0DA504">
        <w:rPr>
          <w:rFonts w:ascii="Times New Roman" w:hAnsi="Times New Roman" w:eastAsia="Times New Roman" w:cs="Times New Roman"/>
          <w:noProof w:val="0"/>
          <w:sz w:val="24"/>
          <w:szCs w:val="24"/>
          <w:lang w:val="en-US"/>
        </w:rPr>
        <w:t>.</w:t>
      </w:r>
      <w:r w:rsidRPr="7B21BF7C" w:rsidR="0107105E">
        <w:rPr>
          <w:rFonts w:ascii="Times New Roman" w:hAnsi="Times New Roman" w:eastAsia="Times New Roman" w:cs="Times New Roman"/>
          <w:noProof w:val="0"/>
          <w:sz w:val="24"/>
          <w:szCs w:val="24"/>
          <w:lang w:val="en-US"/>
        </w:rPr>
        <w:t xml:space="preserve">  </w:t>
      </w:r>
      <w:r w:rsidRPr="7B21BF7C" w:rsidR="0107105E">
        <w:rPr>
          <w:rFonts w:ascii="Times New Roman" w:hAnsi="Times New Roman" w:eastAsia="Times New Roman" w:cs="Times New Roman"/>
          <w:noProof w:val="0"/>
          <w:sz w:val="24"/>
          <w:szCs w:val="24"/>
          <w:lang w:val="en-US"/>
        </w:rPr>
        <w:t>Harrington chose to only include studies that used empirical research examining the effectiveness of first-year seminars</w:t>
      </w:r>
      <w:r w:rsidRPr="7B21BF7C" w:rsidR="09A715A8">
        <w:rPr>
          <w:rFonts w:ascii="Times New Roman" w:hAnsi="Times New Roman" w:eastAsia="Times New Roman" w:cs="Times New Roman"/>
          <w:noProof w:val="0"/>
          <w:sz w:val="24"/>
          <w:szCs w:val="24"/>
          <w:lang w:val="en-US"/>
        </w:rPr>
        <w:t xml:space="preserve"> and</w:t>
      </w:r>
      <w:r w:rsidRPr="7B21BF7C" w:rsidR="0107105E">
        <w:rPr>
          <w:rFonts w:ascii="Times New Roman" w:hAnsi="Times New Roman" w:eastAsia="Times New Roman" w:cs="Times New Roman"/>
          <w:noProof w:val="0"/>
          <w:sz w:val="24"/>
          <w:szCs w:val="24"/>
          <w:lang w:val="en-US"/>
        </w:rPr>
        <w:t xml:space="preserve"> studies </w:t>
      </w:r>
      <w:r w:rsidRPr="7B21BF7C" w:rsidR="0CF062B6">
        <w:rPr>
          <w:rFonts w:ascii="Times New Roman" w:hAnsi="Times New Roman" w:eastAsia="Times New Roman" w:cs="Times New Roman"/>
          <w:noProof w:val="0"/>
          <w:sz w:val="24"/>
          <w:szCs w:val="24"/>
          <w:lang w:val="en-US"/>
        </w:rPr>
        <w:t>that used measurable outcomes such as G</w:t>
      </w:r>
      <w:r w:rsidRPr="7B21BF7C" w:rsidR="1075E1C5">
        <w:rPr>
          <w:rFonts w:ascii="Times New Roman" w:hAnsi="Times New Roman" w:eastAsia="Times New Roman" w:cs="Times New Roman"/>
          <w:noProof w:val="0"/>
          <w:sz w:val="24"/>
          <w:szCs w:val="24"/>
          <w:lang w:val="en-US"/>
        </w:rPr>
        <w:t>PA</w:t>
      </w:r>
      <w:r w:rsidRPr="7B21BF7C" w:rsidR="0CF062B6">
        <w:rPr>
          <w:rFonts w:ascii="Times New Roman" w:hAnsi="Times New Roman" w:eastAsia="Times New Roman" w:cs="Times New Roman"/>
          <w:noProof w:val="0"/>
          <w:sz w:val="24"/>
          <w:szCs w:val="24"/>
          <w:lang w:val="en-US"/>
        </w:rPr>
        <w:t>, retention, graduation,</w:t>
      </w:r>
      <w:r w:rsidRPr="7B21BF7C" w:rsidR="21DEED48">
        <w:rPr>
          <w:rFonts w:ascii="Times New Roman" w:hAnsi="Times New Roman" w:eastAsia="Times New Roman" w:cs="Times New Roman"/>
          <w:noProof w:val="0"/>
          <w:sz w:val="24"/>
          <w:szCs w:val="24"/>
          <w:lang w:val="en-US"/>
        </w:rPr>
        <w:t xml:space="preserve"> pass/fail rates,</w:t>
      </w:r>
      <w:r w:rsidRPr="7B21BF7C" w:rsidR="6EB6F37F">
        <w:rPr>
          <w:rFonts w:ascii="Times New Roman" w:hAnsi="Times New Roman" w:eastAsia="Times New Roman" w:cs="Times New Roman"/>
          <w:noProof w:val="0"/>
          <w:sz w:val="24"/>
          <w:szCs w:val="24"/>
          <w:lang w:val="en-US"/>
        </w:rPr>
        <w:t xml:space="preserve"> attendance rate, completion rate of advising appointments, national survey of student engagement results,</w:t>
      </w:r>
      <w:r w:rsidRPr="7B21BF7C" w:rsidR="21DEED48">
        <w:rPr>
          <w:rFonts w:ascii="Times New Roman" w:hAnsi="Times New Roman" w:eastAsia="Times New Roman" w:cs="Times New Roman"/>
          <w:noProof w:val="0"/>
          <w:sz w:val="24"/>
          <w:szCs w:val="24"/>
          <w:lang w:val="en-US"/>
        </w:rPr>
        <w:t xml:space="preserve"> </w:t>
      </w:r>
      <w:r w:rsidRPr="7B21BF7C" w:rsidR="21DEED48">
        <w:rPr>
          <w:rFonts w:ascii="Times New Roman" w:hAnsi="Times New Roman" w:eastAsia="Times New Roman" w:cs="Times New Roman"/>
          <w:noProof w:val="0"/>
          <w:sz w:val="24"/>
          <w:szCs w:val="24"/>
          <w:lang w:val="en-US"/>
        </w:rPr>
        <w:t>and credit</w:t>
      </w:r>
      <w:r w:rsidRPr="7B21BF7C" w:rsidR="21DEED48">
        <w:rPr>
          <w:rFonts w:ascii="Times New Roman" w:hAnsi="Times New Roman" w:eastAsia="Times New Roman" w:cs="Times New Roman"/>
          <w:noProof w:val="0"/>
          <w:sz w:val="24"/>
          <w:szCs w:val="24"/>
          <w:lang w:val="en-US"/>
        </w:rPr>
        <w:t xml:space="preserve"> completion ratios</w:t>
      </w:r>
      <w:r w:rsidRPr="7B21BF7C" w:rsidR="3E07D553">
        <w:rPr>
          <w:rFonts w:ascii="Times New Roman" w:hAnsi="Times New Roman" w:eastAsia="Times New Roman" w:cs="Times New Roman"/>
          <w:noProof w:val="0"/>
          <w:sz w:val="24"/>
          <w:szCs w:val="24"/>
          <w:lang w:val="en-US"/>
        </w:rPr>
        <w:t>.</w:t>
      </w:r>
      <w:r w:rsidRPr="7B21BF7C" w:rsidR="38C4021A">
        <w:rPr>
          <w:rFonts w:ascii="Times New Roman" w:hAnsi="Times New Roman" w:eastAsia="Times New Roman" w:cs="Times New Roman"/>
          <w:noProof w:val="0"/>
          <w:sz w:val="24"/>
          <w:szCs w:val="24"/>
          <w:lang w:val="en-US"/>
        </w:rPr>
        <w:t xml:space="preserve"> The studies could also include quantified traits such as </w:t>
      </w:r>
      <w:r w:rsidRPr="7B21BF7C" w:rsidR="3F5621F0">
        <w:rPr>
          <w:rFonts w:ascii="Times New Roman" w:hAnsi="Times New Roman" w:eastAsia="Times New Roman" w:cs="Times New Roman"/>
          <w:noProof w:val="0"/>
          <w:sz w:val="24"/>
          <w:szCs w:val="24"/>
          <w:lang w:val="en-US"/>
        </w:rPr>
        <w:t>self-efficacy</w:t>
      </w:r>
      <w:r w:rsidRPr="7B21BF7C" w:rsidR="38C4021A">
        <w:rPr>
          <w:rFonts w:ascii="Times New Roman" w:hAnsi="Times New Roman" w:eastAsia="Times New Roman" w:cs="Times New Roman"/>
          <w:noProof w:val="0"/>
          <w:sz w:val="24"/>
          <w:szCs w:val="24"/>
          <w:lang w:val="en-US"/>
        </w:rPr>
        <w:t xml:space="preserve"> scales, </w:t>
      </w:r>
      <w:r w:rsidRPr="7B21BF7C" w:rsidR="52841AE7">
        <w:rPr>
          <w:rFonts w:ascii="Times New Roman" w:hAnsi="Times New Roman" w:eastAsia="Times New Roman" w:cs="Times New Roman"/>
          <w:noProof w:val="0"/>
          <w:sz w:val="24"/>
          <w:szCs w:val="24"/>
          <w:lang w:val="en-US"/>
        </w:rPr>
        <w:t>M</w:t>
      </w:r>
      <w:r w:rsidRPr="7B21BF7C" w:rsidR="38C4021A">
        <w:rPr>
          <w:rFonts w:ascii="Times New Roman" w:hAnsi="Times New Roman" w:eastAsia="Times New Roman" w:cs="Times New Roman"/>
          <w:noProof w:val="0"/>
          <w:sz w:val="24"/>
          <w:szCs w:val="24"/>
          <w:lang w:val="en-US"/>
        </w:rPr>
        <w:t xml:space="preserve">otivated </w:t>
      </w:r>
      <w:r w:rsidRPr="7B21BF7C" w:rsidR="076C4A18">
        <w:rPr>
          <w:rFonts w:ascii="Times New Roman" w:hAnsi="Times New Roman" w:eastAsia="Times New Roman" w:cs="Times New Roman"/>
          <w:noProof w:val="0"/>
          <w:sz w:val="24"/>
          <w:szCs w:val="24"/>
          <w:lang w:val="en-US"/>
        </w:rPr>
        <w:t>S</w:t>
      </w:r>
      <w:r w:rsidRPr="7B21BF7C" w:rsidR="38C4021A">
        <w:rPr>
          <w:rFonts w:ascii="Times New Roman" w:hAnsi="Times New Roman" w:eastAsia="Times New Roman" w:cs="Times New Roman"/>
          <w:noProof w:val="0"/>
          <w:sz w:val="24"/>
          <w:szCs w:val="24"/>
          <w:lang w:val="en-US"/>
        </w:rPr>
        <w:t xml:space="preserve">trategies for </w:t>
      </w:r>
      <w:r w:rsidRPr="7B21BF7C" w:rsidR="39AF6379">
        <w:rPr>
          <w:rFonts w:ascii="Times New Roman" w:hAnsi="Times New Roman" w:eastAsia="Times New Roman" w:cs="Times New Roman"/>
          <w:noProof w:val="0"/>
          <w:sz w:val="24"/>
          <w:szCs w:val="24"/>
          <w:lang w:val="en-US"/>
        </w:rPr>
        <w:t>L</w:t>
      </w:r>
      <w:r w:rsidRPr="7B21BF7C" w:rsidR="38C4021A">
        <w:rPr>
          <w:rFonts w:ascii="Times New Roman" w:hAnsi="Times New Roman" w:eastAsia="Times New Roman" w:cs="Times New Roman"/>
          <w:noProof w:val="0"/>
          <w:sz w:val="24"/>
          <w:szCs w:val="24"/>
          <w:lang w:val="en-US"/>
        </w:rPr>
        <w:t xml:space="preserve">earning questionnaires, and </w:t>
      </w:r>
      <w:r w:rsidRPr="7B21BF7C" w:rsidR="1571914C">
        <w:rPr>
          <w:rFonts w:ascii="Times New Roman" w:hAnsi="Times New Roman" w:eastAsia="Times New Roman" w:cs="Times New Roman"/>
          <w:noProof w:val="0"/>
          <w:sz w:val="24"/>
          <w:szCs w:val="24"/>
          <w:lang w:val="en-US"/>
        </w:rPr>
        <w:t>M</w:t>
      </w:r>
      <w:r w:rsidRPr="7B21BF7C" w:rsidR="38C4021A">
        <w:rPr>
          <w:rFonts w:ascii="Times New Roman" w:hAnsi="Times New Roman" w:eastAsia="Times New Roman" w:cs="Times New Roman"/>
          <w:noProof w:val="0"/>
          <w:sz w:val="24"/>
          <w:szCs w:val="24"/>
          <w:lang w:val="en-US"/>
        </w:rPr>
        <w:t>indset</w:t>
      </w:r>
      <w:r w:rsidRPr="7B21BF7C" w:rsidR="0120D841">
        <w:rPr>
          <w:rFonts w:ascii="Times New Roman" w:hAnsi="Times New Roman" w:eastAsia="Times New Roman" w:cs="Times New Roman"/>
          <w:noProof w:val="0"/>
          <w:sz w:val="24"/>
          <w:szCs w:val="24"/>
          <w:lang w:val="en-US"/>
        </w:rPr>
        <w:t xml:space="preserve"> and </w:t>
      </w:r>
      <w:r w:rsidRPr="7B21BF7C" w:rsidR="32D37091">
        <w:rPr>
          <w:rFonts w:ascii="Times New Roman" w:hAnsi="Times New Roman" w:eastAsia="Times New Roman" w:cs="Times New Roman"/>
          <w:noProof w:val="0"/>
          <w:sz w:val="24"/>
          <w:szCs w:val="24"/>
          <w:lang w:val="en-US"/>
        </w:rPr>
        <w:t>B</w:t>
      </w:r>
      <w:r w:rsidRPr="7B21BF7C" w:rsidR="0120D841">
        <w:rPr>
          <w:rFonts w:ascii="Times New Roman" w:hAnsi="Times New Roman" w:eastAsia="Times New Roman" w:cs="Times New Roman"/>
          <w:noProof w:val="0"/>
          <w:sz w:val="24"/>
          <w:szCs w:val="24"/>
          <w:lang w:val="en-US"/>
        </w:rPr>
        <w:t>elonging scales.</w:t>
      </w:r>
      <w:r w:rsidRPr="7B21BF7C" w:rsidR="271ADDE5">
        <w:rPr>
          <w:rFonts w:ascii="Times New Roman" w:hAnsi="Times New Roman" w:eastAsia="Times New Roman" w:cs="Times New Roman"/>
          <w:noProof w:val="0"/>
          <w:sz w:val="24"/>
          <w:szCs w:val="24"/>
          <w:lang w:val="en-US"/>
        </w:rPr>
        <w:t xml:space="preserve"> </w:t>
      </w:r>
      <w:r w:rsidRPr="7B21BF7C" w:rsidR="271ADDE5">
        <w:rPr>
          <w:rFonts w:ascii="Times New Roman" w:hAnsi="Times New Roman" w:eastAsia="Times New Roman" w:cs="Times New Roman"/>
          <w:noProof w:val="0"/>
          <w:sz w:val="24"/>
          <w:szCs w:val="24"/>
          <w:lang w:val="en-US"/>
        </w:rPr>
        <w:t xml:space="preserve">Other demographic traits that were quantified and examined included first generation status, gender, race or ethnicity, and </w:t>
      </w:r>
      <w:r w:rsidRPr="7B21BF7C" w:rsidR="0E95BAF5">
        <w:rPr>
          <w:rFonts w:ascii="Times New Roman" w:hAnsi="Times New Roman" w:eastAsia="Times New Roman" w:cs="Times New Roman"/>
          <w:noProof w:val="0"/>
          <w:sz w:val="24"/>
          <w:szCs w:val="24"/>
          <w:lang w:val="en-US"/>
        </w:rPr>
        <w:t xml:space="preserve">academic preparedness based </w:t>
      </w:r>
      <w:r w:rsidRPr="7B21BF7C" w:rsidR="0E95BAF5">
        <w:rPr>
          <w:rFonts w:ascii="Times New Roman" w:hAnsi="Times New Roman" w:eastAsia="Times New Roman" w:cs="Times New Roman"/>
          <w:noProof w:val="0"/>
          <w:sz w:val="24"/>
          <w:szCs w:val="24"/>
          <w:lang w:val="en-US"/>
        </w:rPr>
        <w:t>of</w:t>
      </w:r>
      <w:r w:rsidRPr="7B21BF7C" w:rsidR="3AFC5632">
        <w:rPr>
          <w:rFonts w:ascii="Times New Roman" w:hAnsi="Times New Roman" w:eastAsia="Times New Roman" w:cs="Times New Roman"/>
          <w:noProof w:val="0"/>
          <w:sz w:val="24"/>
          <w:szCs w:val="24"/>
          <w:lang w:val="en-US"/>
        </w:rPr>
        <w:t>f of</w:t>
      </w:r>
      <w:r w:rsidRPr="7B21BF7C" w:rsidR="0E95BAF5">
        <w:rPr>
          <w:rFonts w:ascii="Times New Roman" w:hAnsi="Times New Roman" w:eastAsia="Times New Roman" w:cs="Times New Roman"/>
          <w:noProof w:val="0"/>
          <w:sz w:val="24"/>
          <w:szCs w:val="24"/>
          <w:lang w:val="en-US"/>
        </w:rPr>
        <w:t xml:space="preserve"> high school grades of SAT/ACT scores.</w:t>
      </w:r>
      <w:r w:rsidRPr="7B21BF7C" w:rsidR="1F457508">
        <w:rPr>
          <w:rFonts w:ascii="Times New Roman" w:hAnsi="Times New Roman" w:eastAsia="Times New Roman" w:cs="Times New Roman"/>
          <w:noProof w:val="0"/>
          <w:sz w:val="24"/>
          <w:szCs w:val="24"/>
          <w:lang w:val="en-US"/>
        </w:rPr>
        <w:t xml:space="preserve"> </w:t>
      </w:r>
      <w:r w:rsidRPr="7B21BF7C" w:rsidR="1F457508">
        <w:rPr>
          <w:rFonts w:ascii="Times New Roman" w:hAnsi="Times New Roman" w:eastAsia="Times New Roman" w:cs="Times New Roman"/>
          <w:noProof w:val="0"/>
          <w:sz w:val="24"/>
          <w:szCs w:val="24"/>
          <w:lang w:val="en-US"/>
        </w:rPr>
        <w:t xml:space="preserve">This meant excluding studies who focused on descriptive only or qualitative </w:t>
      </w:r>
      <w:r w:rsidRPr="7B21BF7C" w:rsidR="25367051">
        <w:rPr>
          <w:rFonts w:ascii="Times New Roman" w:hAnsi="Times New Roman" w:eastAsia="Times New Roman" w:cs="Times New Roman"/>
          <w:noProof w:val="0"/>
          <w:sz w:val="24"/>
          <w:szCs w:val="24"/>
          <w:lang w:val="en-US"/>
        </w:rPr>
        <w:t>assessment</w:t>
      </w:r>
      <w:r w:rsidRPr="7B21BF7C" w:rsidR="1F457508">
        <w:rPr>
          <w:rFonts w:ascii="Times New Roman" w:hAnsi="Times New Roman" w:eastAsia="Times New Roman" w:cs="Times New Roman"/>
          <w:noProof w:val="0"/>
          <w:sz w:val="24"/>
          <w:szCs w:val="24"/>
          <w:lang w:val="en-US"/>
        </w:rPr>
        <w:t>, any broader first year experience programs,</w:t>
      </w:r>
      <w:r w:rsidRPr="7B21BF7C" w:rsidR="0706CEE1">
        <w:rPr>
          <w:rFonts w:ascii="Times New Roman" w:hAnsi="Times New Roman" w:eastAsia="Times New Roman" w:cs="Times New Roman"/>
          <w:noProof w:val="0"/>
          <w:sz w:val="24"/>
          <w:szCs w:val="24"/>
          <w:lang w:val="en-US"/>
        </w:rPr>
        <w:t xml:space="preserve"> and</w:t>
      </w:r>
      <w:r w:rsidRPr="7B21BF7C" w:rsidR="1F457508">
        <w:rPr>
          <w:rFonts w:ascii="Times New Roman" w:hAnsi="Times New Roman" w:eastAsia="Times New Roman" w:cs="Times New Roman"/>
          <w:noProof w:val="0"/>
          <w:sz w:val="24"/>
          <w:szCs w:val="24"/>
          <w:lang w:val="en-US"/>
        </w:rPr>
        <w:t xml:space="preserve"> studies centered on unique sub-populations</w:t>
      </w:r>
      <w:r w:rsidRPr="7B21BF7C" w:rsidR="2E597DAA">
        <w:rPr>
          <w:rFonts w:ascii="Times New Roman" w:hAnsi="Times New Roman" w:eastAsia="Times New Roman" w:cs="Times New Roman"/>
          <w:noProof w:val="0"/>
          <w:sz w:val="24"/>
          <w:szCs w:val="24"/>
          <w:lang w:val="en-US"/>
        </w:rPr>
        <w:t>.</w:t>
      </w:r>
      <w:r w:rsidRPr="7B21BF7C" w:rsidR="56C487E8">
        <w:rPr>
          <w:rFonts w:ascii="Times New Roman" w:hAnsi="Times New Roman" w:eastAsia="Times New Roman" w:cs="Times New Roman"/>
          <w:noProof w:val="0"/>
          <w:sz w:val="24"/>
          <w:szCs w:val="24"/>
          <w:lang w:val="en-US"/>
        </w:rPr>
        <w:t xml:space="preserve"> Studies </w:t>
      </w:r>
      <w:r w:rsidRPr="7B21BF7C" w:rsidR="4698F1A5">
        <w:rPr>
          <w:rFonts w:ascii="Times New Roman" w:hAnsi="Times New Roman" w:eastAsia="Times New Roman" w:cs="Times New Roman"/>
          <w:noProof w:val="0"/>
          <w:sz w:val="24"/>
          <w:szCs w:val="24"/>
          <w:lang w:val="en-US"/>
        </w:rPr>
        <w:t>occurrin</w:t>
      </w:r>
      <w:r w:rsidRPr="7B21BF7C" w:rsidR="4698F1A5">
        <w:rPr>
          <w:rFonts w:ascii="Times New Roman" w:hAnsi="Times New Roman" w:eastAsia="Times New Roman" w:cs="Times New Roman"/>
          <w:noProof w:val="0"/>
          <w:sz w:val="24"/>
          <w:szCs w:val="24"/>
          <w:lang w:val="en-US"/>
        </w:rPr>
        <w:t>g</w:t>
      </w:r>
      <w:r w:rsidRPr="7B21BF7C" w:rsidR="56C487E8">
        <w:rPr>
          <w:rFonts w:ascii="Times New Roman" w:hAnsi="Times New Roman" w:eastAsia="Times New Roman" w:cs="Times New Roman"/>
          <w:noProof w:val="0"/>
          <w:sz w:val="24"/>
          <w:szCs w:val="24"/>
          <w:lang w:val="en-US"/>
        </w:rPr>
        <w:t xml:space="preserve"> during the pandemic or examining data during the pandemic were excluded as well.</w:t>
      </w:r>
      <w:r w:rsidRPr="7B21BF7C" w:rsidR="18E78464">
        <w:rPr>
          <w:rFonts w:ascii="Times New Roman" w:hAnsi="Times New Roman" w:eastAsia="Times New Roman" w:cs="Times New Roman"/>
          <w:noProof w:val="0"/>
          <w:sz w:val="24"/>
          <w:szCs w:val="24"/>
          <w:lang w:val="en-US"/>
        </w:rPr>
        <w:t xml:space="preserve"> </w:t>
      </w:r>
      <w:r w:rsidRPr="7B21BF7C" w:rsidR="18E78464">
        <w:rPr>
          <w:rFonts w:ascii="Times New Roman" w:hAnsi="Times New Roman" w:eastAsia="Times New Roman" w:cs="Times New Roman"/>
          <w:noProof w:val="0"/>
          <w:sz w:val="24"/>
          <w:szCs w:val="24"/>
          <w:lang w:val="en-US"/>
        </w:rPr>
        <w:t>Harrington also grouped studies by certain domains, academic, behavioral, and affective, to better understand trends and look for patterns.</w:t>
      </w:r>
    </w:p>
    <w:p w:rsidR="6EC191BC" w:rsidP="7B21BF7C" w:rsidRDefault="6EC191BC" w14:paraId="6EFD3E22" w14:textId="7B33833A">
      <w:pPr>
        <w:pStyle w:val="Normal"/>
        <w:ind w:firstLine="720"/>
        <w:rPr>
          <w:rFonts w:ascii="Times New Roman" w:hAnsi="Times New Roman" w:eastAsia="Times New Roman" w:cs="Times New Roman"/>
          <w:noProof w:val="0"/>
          <w:sz w:val="24"/>
          <w:szCs w:val="24"/>
          <w:lang w:val="en-US"/>
        </w:rPr>
      </w:pPr>
      <w:r w:rsidRPr="7B21BF7C" w:rsidR="6EC191BC">
        <w:rPr>
          <w:rFonts w:ascii="Times New Roman" w:hAnsi="Times New Roman" w:eastAsia="Times New Roman" w:cs="Times New Roman"/>
          <w:noProof w:val="0"/>
          <w:sz w:val="24"/>
          <w:szCs w:val="24"/>
          <w:lang w:val="en-US"/>
        </w:rPr>
        <w:t xml:space="preserve">Multiple methods were used across the studies examined </w:t>
      </w:r>
      <w:r w:rsidRPr="7B21BF7C" w:rsidR="3BB919D4">
        <w:rPr>
          <w:rFonts w:ascii="Times New Roman" w:hAnsi="Times New Roman" w:eastAsia="Times New Roman" w:cs="Times New Roman"/>
          <w:noProof w:val="0"/>
          <w:sz w:val="24"/>
          <w:szCs w:val="24"/>
          <w:lang w:val="en-US"/>
        </w:rPr>
        <w:t>including</w:t>
      </w:r>
      <w:r w:rsidRPr="7B21BF7C" w:rsidR="6EC191BC">
        <w:rPr>
          <w:rFonts w:ascii="Times New Roman" w:hAnsi="Times New Roman" w:eastAsia="Times New Roman" w:cs="Times New Roman"/>
          <w:noProof w:val="0"/>
          <w:sz w:val="24"/>
          <w:szCs w:val="24"/>
          <w:lang w:val="en-US"/>
        </w:rPr>
        <w:t xml:space="preserve"> t-tests, regression models, logistic regressions, propensity score matching, and longitudinal models using OLS. </w:t>
      </w:r>
      <w:r w:rsidRPr="7B21BF7C" w:rsidR="57A42773">
        <w:rPr>
          <w:rFonts w:ascii="Times New Roman" w:hAnsi="Times New Roman" w:eastAsia="Times New Roman" w:cs="Times New Roman"/>
          <w:noProof w:val="0"/>
          <w:sz w:val="24"/>
          <w:szCs w:val="24"/>
          <w:lang w:val="en-US"/>
        </w:rPr>
        <w:t xml:space="preserve">Randomized studies were hard to </w:t>
      </w:r>
      <w:r w:rsidRPr="7B21BF7C" w:rsidR="0425C796">
        <w:rPr>
          <w:rFonts w:ascii="Times New Roman" w:hAnsi="Times New Roman" w:eastAsia="Times New Roman" w:cs="Times New Roman"/>
          <w:noProof w:val="0"/>
          <w:sz w:val="24"/>
          <w:szCs w:val="24"/>
          <w:lang w:val="en-US"/>
        </w:rPr>
        <w:t>find</w:t>
      </w:r>
      <w:r w:rsidRPr="7B21BF7C" w:rsidR="0425C796">
        <w:rPr>
          <w:rFonts w:ascii="Times New Roman" w:hAnsi="Times New Roman" w:eastAsia="Times New Roman" w:cs="Times New Roman"/>
          <w:noProof w:val="0"/>
          <w:sz w:val="24"/>
          <w:szCs w:val="24"/>
          <w:lang w:val="en-US"/>
        </w:rPr>
        <w:t>,</w:t>
      </w:r>
      <w:r w:rsidRPr="7B21BF7C" w:rsidR="57A42773">
        <w:rPr>
          <w:rFonts w:ascii="Times New Roman" w:hAnsi="Times New Roman" w:eastAsia="Times New Roman" w:cs="Times New Roman"/>
          <w:noProof w:val="0"/>
          <w:sz w:val="24"/>
          <w:szCs w:val="24"/>
          <w:lang w:val="en-US"/>
        </w:rPr>
        <w:t xml:space="preserve"> and most studies used a quasi-experimental desig</w:t>
      </w:r>
      <w:r w:rsidRPr="7B21BF7C" w:rsidR="57A42773">
        <w:rPr>
          <w:rFonts w:ascii="Times New Roman" w:hAnsi="Times New Roman" w:eastAsia="Times New Roman" w:cs="Times New Roman"/>
          <w:noProof w:val="0"/>
          <w:sz w:val="24"/>
          <w:szCs w:val="24"/>
          <w:lang w:val="en-US"/>
        </w:rPr>
        <w:t>n</w:t>
      </w:r>
      <w:r w:rsidRPr="7B21BF7C" w:rsidR="57A42773">
        <w:rPr>
          <w:rFonts w:ascii="Times New Roman" w:hAnsi="Times New Roman" w:eastAsia="Times New Roman" w:cs="Times New Roman"/>
          <w:noProof w:val="0"/>
          <w:sz w:val="24"/>
          <w:szCs w:val="24"/>
          <w:lang w:val="en-US"/>
        </w:rPr>
        <w:t>.</w:t>
      </w:r>
      <w:r w:rsidRPr="7B21BF7C" w:rsidR="18E78464">
        <w:rPr>
          <w:rFonts w:ascii="Times New Roman" w:hAnsi="Times New Roman" w:eastAsia="Times New Roman" w:cs="Times New Roman"/>
          <w:noProof w:val="0"/>
          <w:sz w:val="24"/>
          <w:szCs w:val="24"/>
          <w:lang w:val="en-US"/>
        </w:rPr>
        <w:t xml:space="preserve"> </w:t>
      </w:r>
      <w:r w:rsidRPr="7B21BF7C" w:rsidR="0C0DA504">
        <w:rPr>
          <w:rFonts w:ascii="Times New Roman" w:hAnsi="Times New Roman" w:eastAsia="Times New Roman" w:cs="Times New Roman"/>
          <w:noProof w:val="0"/>
          <w:sz w:val="24"/>
          <w:szCs w:val="24"/>
          <w:lang w:val="en-US"/>
        </w:rPr>
        <w:t xml:space="preserve"> </w:t>
      </w:r>
    </w:p>
    <w:p w:rsidR="0C0DA504" w:rsidP="7B21BF7C" w:rsidRDefault="0C0DA504" w14:paraId="04B31470" w14:textId="1B2010A0">
      <w:pPr>
        <w:pStyle w:val="Normal"/>
        <w:ind w:firstLine="720"/>
        <w:rPr>
          <w:rFonts w:ascii="Times New Roman" w:hAnsi="Times New Roman" w:eastAsia="Times New Roman" w:cs="Times New Roman"/>
          <w:noProof w:val="0"/>
          <w:sz w:val="24"/>
          <w:szCs w:val="24"/>
          <w:lang w:val="en-US"/>
        </w:rPr>
      </w:pPr>
      <w:r w:rsidRPr="7B21BF7C" w:rsidR="0C0DA504">
        <w:rPr>
          <w:rFonts w:ascii="Times New Roman" w:hAnsi="Times New Roman" w:eastAsia="Times New Roman" w:cs="Times New Roman"/>
          <w:noProof w:val="0"/>
          <w:sz w:val="24"/>
          <w:szCs w:val="24"/>
          <w:lang w:val="en-US"/>
        </w:rPr>
        <w:t xml:space="preserve">Harrington found that FYS participation is </w:t>
      </w:r>
      <w:r w:rsidRPr="7B21BF7C" w:rsidR="0C0DA504">
        <w:rPr>
          <w:rFonts w:ascii="Times New Roman" w:hAnsi="Times New Roman" w:eastAsia="Times New Roman" w:cs="Times New Roman"/>
          <w:noProof w:val="0"/>
          <w:sz w:val="24"/>
          <w:szCs w:val="24"/>
          <w:lang w:val="en-US"/>
        </w:rPr>
        <w:t>g</w:t>
      </w:r>
      <w:r w:rsidRPr="7B21BF7C" w:rsidR="0C0DA504">
        <w:rPr>
          <w:rFonts w:ascii="Times New Roman" w:hAnsi="Times New Roman" w:eastAsia="Times New Roman" w:cs="Times New Roman"/>
          <w:noProof w:val="0"/>
          <w:sz w:val="24"/>
          <w:szCs w:val="24"/>
          <w:lang w:val="en-US"/>
        </w:rPr>
        <w:t>enerally associated</w:t>
      </w:r>
      <w:r w:rsidRPr="7B21BF7C" w:rsidR="0C0DA504">
        <w:rPr>
          <w:rFonts w:ascii="Times New Roman" w:hAnsi="Times New Roman" w:eastAsia="Times New Roman" w:cs="Times New Roman"/>
          <w:noProof w:val="0"/>
          <w:sz w:val="24"/>
          <w:szCs w:val="24"/>
          <w:lang w:val="en-US"/>
        </w:rPr>
        <w:t xml:space="preserve"> </w:t>
      </w:r>
      <w:r w:rsidRPr="7B21BF7C" w:rsidR="0C0DA504">
        <w:rPr>
          <w:rFonts w:ascii="Times New Roman" w:hAnsi="Times New Roman" w:eastAsia="Times New Roman" w:cs="Times New Roman"/>
          <w:noProof w:val="0"/>
          <w:sz w:val="24"/>
          <w:szCs w:val="24"/>
          <w:lang w:val="en-US"/>
        </w:rPr>
        <w:t>with higher first-year GPAs, stronger study habits, and improved persistence, though effects on graduation rates are mixed. Courses that emphasize academic skills and active learning tend to produce the greatest benefits, particularly for first-generation and historically marginalized students</w:t>
      </w:r>
      <w:r w:rsidRPr="7B21BF7C" w:rsidR="0C0DA504">
        <w:rPr>
          <w:rFonts w:ascii="Times New Roman" w:hAnsi="Times New Roman" w:eastAsia="Times New Roman" w:cs="Times New Roman"/>
          <w:noProof w:val="0"/>
          <w:sz w:val="24"/>
          <w:szCs w:val="24"/>
          <w:lang w:val="en-US"/>
        </w:rPr>
        <w:t xml:space="preserve">.  </w:t>
      </w:r>
      <w:r w:rsidRPr="7B21BF7C" w:rsidR="0C0DA504">
        <w:rPr>
          <w:rFonts w:ascii="Times New Roman" w:hAnsi="Times New Roman" w:eastAsia="Times New Roman" w:cs="Times New Roman"/>
          <w:noProof w:val="0"/>
          <w:sz w:val="24"/>
          <w:szCs w:val="24"/>
          <w:lang w:val="en-US"/>
        </w:rPr>
        <w:t>Courses that focused on transitional skills did not yield the same academic benefit, but students did report the course eased their transition</w:t>
      </w:r>
      <w:r w:rsidRPr="7B21BF7C" w:rsidR="0C0DA504">
        <w:rPr>
          <w:rFonts w:ascii="Times New Roman" w:hAnsi="Times New Roman" w:eastAsia="Times New Roman" w:cs="Times New Roman"/>
          <w:noProof w:val="0"/>
          <w:sz w:val="24"/>
          <w:szCs w:val="24"/>
          <w:lang w:val="en-US"/>
        </w:rPr>
        <w:t>.</w:t>
      </w:r>
      <w:r w:rsidRPr="7B21BF7C" w:rsidR="337D4E15">
        <w:rPr>
          <w:rFonts w:ascii="Times New Roman" w:hAnsi="Times New Roman" w:eastAsia="Times New Roman" w:cs="Times New Roman"/>
          <w:noProof w:val="0"/>
          <w:sz w:val="24"/>
          <w:szCs w:val="24"/>
          <w:lang w:val="en-US"/>
        </w:rPr>
        <w:t xml:space="preserve">  </w:t>
      </w:r>
      <w:r w:rsidRPr="7B21BF7C" w:rsidR="0C0DA504">
        <w:rPr>
          <w:rFonts w:ascii="Times New Roman" w:hAnsi="Times New Roman" w:eastAsia="Times New Roman" w:cs="Times New Roman"/>
          <w:noProof w:val="0"/>
          <w:sz w:val="24"/>
          <w:szCs w:val="24"/>
          <w:lang w:val="en-US"/>
        </w:rPr>
        <w:t>The review also notes that while the impact of FYS programs is present, it is common for the effect to be small. Overall, Harrington concludes that well-designed FYS programs can play a meaningful role in promoting student success and equity in higher education.</w:t>
      </w:r>
      <w:commentRangeEnd w:id="267422912"/>
      <w:r>
        <w:rPr>
          <w:rStyle w:val="CommentReference"/>
        </w:rPr>
        <w:commentReference w:id="267422912"/>
      </w:r>
    </w:p>
    <w:p w:rsidR="30EB868C" w:rsidP="7B21BF7C" w:rsidRDefault="30EB868C" w14:paraId="7E92164B" w14:textId="5BC57728">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a least squares regression with retention as the response variable Hill &amp; Woodward (2013) found that in an urban research commuter campus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an urban area of a large midwestern university, learning communities had a significant impact on student retention. Thus,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measure the impact of first year experience seminars on student retention for specific populations such as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 income</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students, first generation students, and students from ethnic minorities, we </w:t>
      </w:r>
      <w:r w:rsidRPr="7B21BF7C" w:rsidR="74038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have selected to</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control for learning community participation. </w:t>
      </w:r>
      <w:r w:rsidRPr="7B21BF7C" w:rsidR="28CCB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p</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otential regressors identifie</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a result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study are Highschool GPA</w:t>
      </w:r>
      <w:r w:rsidRPr="7B21BF7C" w:rsidR="05C69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&amp;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 Score.</w:t>
      </w:r>
    </w:p>
    <w:p w:rsidR="7B21BF7C" w:rsidP="7B21BF7C" w:rsidRDefault="7B21BF7C" w14:paraId="306C2201" w14:textId="388E228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30EB868C" w:rsidP="7B21BF7C" w:rsidRDefault="30EB868C" w14:paraId="275AB095" w14:textId="41BF156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Goal Statement:</w:t>
      </w:r>
    </w:p>
    <w:p w:rsidR="30EB868C" w:rsidP="7B21BF7C" w:rsidRDefault="30EB868C" w14:paraId="483C052E" w14:textId="3B0234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Understand how FYE affects educational retainment for groups of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backgrounds</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B21BF7C" w:rsidP="7B21BF7C" w:rsidRDefault="7B21BF7C" w14:paraId="3CC6103F" w14:textId="5AAD3A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08053CB" w:rsidP="7B21BF7C" w:rsidRDefault="408053CB" w14:paraId="1E8710A7" w14:textId="495EC042">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408053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Potential methodology:</w:t>
      </w:r>
    </w:p>
    <w:p w:rsidR="408053CB" w:rsidP="7B21BF7C" w:rsidRDefault="408053CB" w14:paraId="6249CFC5" w14:textId="6FB658F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plan to use binary logistic regression with retention as the dependent variable and using the variables outlined above for treatment and non-treatment groups as independent variables. We will </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control for</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learning groups (TLC, ERA, Honors, Scott Scholars, etc.), and examine factors </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like </w:t>
      </w:r>
      <w:r w:rsidRPr="7B21BF7C" w:rsidR="40805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 scores and HS GPAs, and distance.</w:t>
      </w:r>
    </w:p>
    <w:p w:rsidR="7B21BF7C" w:rsidP="7B21BF7C" w:rsidRDefault="7B21BF7C" w14:paraId="3CDB10DD" w14:textId="55F08C51">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30EB868C" w:rsidP="7B21BF7C" w:rsidRDefault="30EB868C" w14:paraId="08FFC6B4" w14:textId="578C0638">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Outline of variables needed:</w:t>
      </w:r>
    </w:p>
    <w:p w:rsidR="30EB868C" w:rsidP="7B21BF7C" w:rsidRDefault="30EB868C" w14:paraId="050B8B50" w14:textId="31A8CBA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Demographic (ethnicity, first gen, age)</w:t>
      </w:r>
      <w:r w:rsidRPr="7B21BF7C" w:rsidR="16AF54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geospatial (distance from home), learning community,</w:t>
      </w:r>
      <w:r w:rsidRPr="7B21BF7C" w:rsidR="798163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7B21BF7C" w:rsidR="6EA175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academic retention variables</w:t>
      </w:r>
      <w:r w:rsidRPr="7B21BF7C" w:rsidR="30EB86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B21BF7C" w:rsidP="7B21BF7C" w:rsidRDefault="7B21BF7C" w14:paraId="093FB394" w14:textId="16B867A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556E8089" w14:textId="280C874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65FE8288" w14:textId="7E696A3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6DCD5EC7" w14:textId="5B657E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4359D11B" w14:textId="6D241C5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1A1E628D" w14:textId="026AFE5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7CCC4222" w14:textId="71C66BF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350AD44E" w14:textId="4262393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4466A2CE" w14:textId="4FFD2C8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1ACE04D2" w14:textId="0956B75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41D4C2DC" w14:textId="4822E9A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2DBC6DCA" w14:textId="5BA72BE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57BC0E0C" w14:textId="76B815B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0AE7867F" w14:textId="2E9ED18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7B3FCE3F" w14:textId="484BE0A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1DC6C130" w14:textId="61A606C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573FEAA7" w14:textId="2935668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09AAB51D" w14:textId="1DDCFB4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14C9226E" w14:textId="23FB003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4A12F53A" w14:textId="6F8347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08A75540" w14:textId="51EAEAD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21BF7C" w:rsidP="7B21BF7C" w:rsidRDefault="7B21BF7C" w14:paraId="7E241CC8" w14:textId="5777DCC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0EB868C" w:rsidP="7B21BF7C" w:rsidRDefault="30EB868C" w14:paraId="597E7218" w14:textId="39DD1AA5">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B21BF7C" w:rsidR="30EB86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Bibliography:</w:t>
      </w:r>
    </w:p>
    <w:p w:rsidR="4218E51C" w:rsidP="7B21BF7C" w:rsidRDefault="4218E51C" w14:paraId="146DFE22" w14:textId="0A4ED89B">
      <w:pPr>
        <w:spacing w:before="240" w:beforeAutospacing="off" w:after="240" w:afterAutospacing="off"/>
        <w:ind w:firstLine="720"/>
        <w:rPr>
          <w:rFonts w:ascii="Times New Roman" w:hAnsi="Times New Roman" w:eastAsia="Times New Roman" w:cs="Times New Roman"/>
          <w:sz w:val="24"/>
          <w:szCs w:val="24"/>
        </w:rPr>
      </w:pPr>
      <w:r w:rsidRPr="7B21BF7C" w:rsidR="4218E51C">
        <w:rPr>
          <w:rFonts w:ascii="Times New Roman" w:hAnsi="Times New Roman" w:eastAsia="Times New Roman" w:cs="Times New Roman"/>
          <w:noProof w:val="0"/>
          <w:sz w:val="24"/>
          <w:szCs w:val="24"/>
          <w:lang w:val="en-US"/>
        </w:rPr>
        <w:t xml:space="preserve">Burke, A. (2019). </w:t>
      </w:r>
      <w:r w:rsidRPr="7B21BF7C" w:rsidR="4218E51C">
        <w:rPr>
          <w:rFonts w:ascii="Times New Roman" w:hAnsi="Times New Roman" w:eastAsia="Times New Roman" w:cs="Times New Roman"/>
          <w:i w:val="1"/>
          <w:iCs w:val="1"/>
          <w:noProof w:val="0"/>
          <w:sz w:val="24"/>
          <w:szCs w:val="24"/>
          <w:lang w:val="en-US"/>
        </w:rPr>
        <w:t>Student retention models in higher education: A literature review.</w:t>
      </w:r>
      <w:r w:rsidRPr="7B21BF7C" w:rsidR="4218E51C">
        <w:rPr>
          <w:rFonts w:ascii="Times New Roman" w:hAnsi="Times New Roman" w:eastAsia="Times New Roman" w:cs="Times New Roman"/>
          <w:noProof w:val="0"/>
          <w:sz w:val="24"/>
          <w:szCs w:val="24"/>
          <w:lang w:val="en-US"/>
        </w:rPr>
        <w:t xml:space="preserve"> </w:t>
      </w:r>
      <w:r w:rsidRPr="7B21BF7C" w:rsidR="4218E51C">
        <w:rPr>
          <w:rFonts w:ascii="Times New Roman" w:hAnsi="Times New Roman" w:eastAsia="Times New Roman" w:cs="Times New Roman"/>
          <w:i w:val="1"/>
          <w:iCs w:val="1"/>
          <w:noProof w:val="0"/>
          <w:sz w:val="24"/>
          <w:szCs w:val="24"/>
          <w:lang w:val="en-US"/>
        </w:rPr>
        <w:t>College and University, 94</w:t>
      </w:r>
      <w:r w:rsidRPr="7B21BF7C" w:rsidR="4218E51C">
        <w:rPr>
          <w:rFonts w:ascii="Times New Roman" w:hAnsi="Times New Roman" w:eastAsia="Times New Roman" w:cs="Times New Roman"/>
          <w:noProof w:val="0"/>
          <w:sz w:val="24"/>
          <w:szCs w:val="24"/>
          <w:lang w:val="en-US"/>
        </w:rPr>
        <w:t xml:space="preserve">(2), 12–21. Retrieved from </w:t>
      </w:r>
      <w:hyperlink r:id="R08a9703db74c4472">
        <w:r w:rsidRPr="7B21BF7C" w:rsidR="4218E51C">
          <w:rPr>
            <w:rStyle w:val="Hyperlink"/>
            <w:rFonts w:ascii="Times New Roman" w:hAnsi="Times New Roman" w:eastAsia="Times New Roman" w:cs="Times New Roman"/>
            <w:noProof w:val="0"/>
            <w:sz w:val="24"/>
            <w:szCs w:val="24"/>
            <w:lang w:val="en-US"/>
          </w:rPr>
          <w:t>https://login.leo.lib.unomaha.edu/login?qurl=https%3A%2F%2Fwww.proquest.com%2Fscholarly-journals%2Fstudent-retention-models-higher-education%2Fdocview%2F2232610556%2Fse-2%3Faccountid%3D14692</w:t>
        </w:r>
      </w:hyperlink>
    </w:p>
    <w:p w:rsidR="4218E51C" w:rsidP="7B21BF7C" w:rsidRDefault="4218E51C" w14:paraId="478E2BC4" w14:textId="1CF8B01A">
      <w:pPr>
        <w:spacing w:before="240" w:beforeAutospacing="off" w:after="240" w:afterAutospacing="off"/>
        <w:ind w:firstLine="720"/>
        <w:rPr>
          <w:rFonts w:ascii="Times New Roman" w:hAnsi="Times New Roman" w:eastAsia="Times New Roman" w:cs="Times New Roman"/>
          <w:sz w:val="24"/>
          <w:szCs w:val="24"/>
        </w:rPr>
      </w:pPr>
      <w:r w:rsidRPr="7B21BF7C" w:rsidR="4218E51C">
        <w:rPr>
          <w:rFonts w:ascii="Times New Roman" w:hAnsi="Times New Roman" w:eastAsia="Times New Roman" w:cs="Times New Roman"/>
          <w:noProof w:val="0"/>
          <w:sz w:val="24"/>
          <w:szCs w:val="24"/>
          <w:lang w:val="en-US"/>
        </w:rPr>
        <w:t xml:space="preserve">Harrington, C. (2025). </w:t>
      </w:r>
      <w:r w:rsidRPr="7B21BF7C" w:rsidR="4218E51C">
        <w:rPr>
          <w:rFonts w:ascii="Times New Roman" w:hAnsi="Times New Roman" w:eastAsia="Times New Roman" w:cs="Times New Roman"/>
          <w:i w:val="1"/>
          <w:iCs w:val="1"/>
          <w:noProof w:val="0"/>
          <w:sz w:val="24"/>
          <w:szCs w:val="24"/>
          <w:lang w:val="en-US"/>
        </w:rPr>
        <w:t>Exploring the relationship between first-year seminars and student success outcomes: A narrative literature review.</w:t>
      </w:r>
      <w:r w:rsidRPr="7B21BF7C" w:rsidR="4218E51C">
        <w:rPr>
          <w:rFonts w:ascii="Times New Roman" w:hAnsi="Times New Roman" w:eastAsia="Times New Roman" w:cs="Times New Roman"/>
          <w:noProof w:val="0"/>
          <w:sz w:val="24"/>
          <w:szCs w:val="24"/>
          <w:lang w:val="en-US"/>
        </w:rPr>
        <w:t xml:space="preserve"> </w:t>
      </w:r>
      <w:r w:rsidRPr="7B21BF7C" w:rsidR="4218E51C">
        <w:rPr>
          <w:rFonts w:ascii="Times New Roman" w:hAnsi="Times New Roman" w:eastAsia="Times New Roman" w:cs="Times New Roman"/>
          <w:i w:val="1"/>
          <w:iCs w:val="1"/>
          <w:noProof w:val="0"/>
          <w:sz w:val="24"/>
          <w:szCs w:val="24"/>
          <w:lang w:val="en-US"/>
        </w:rPr>
        <w:t>Journal of Postsecondary Student Success, 4</w:t>
      </w:r>
      <w:r w:rsidRPr="7B21BF7C" w:rsidR="4218E51C">
        <w:rPr>
          <w:rFonts w:ascii="Times New Roman" w:hAnsi="Times New Roman" w:eastAsia="Times New Roman" w:cs="Times New Roman"/>
          <w:noProof w:val="0"/>
          <w:sz w:val="24"/>
          <w:szCs w:val="24"/>
          <w:lang w:val="en-US"/>
        </w:rPr>
        <w:t xml:space="preserve">(3), 82–117. </w:t>
      </w:r>
      <w:hyperlink r:id="R623d7ac075fd46c2">
        <w:r w:rsidRPr="7B21BF7C" w:rsidR="4218E51C">
          <w:rPr>
            <w:rStyle w:val="Hyperlink"/>
            <w:rFonts w:ascii="Times New Roman" w:hAnsi="Times New Roman" w:eastAsia="Times New Roman" w:cs="Times New Roman"/>
            <w:noProof w:val="0"/>
            <w:sz w:val="24"/>
            <w:szCs w:val="24"/>
            <w:lang w:val="en-US"/>
          </w:rPr>
          <w:t>https://doi.org/10.33009/fsop_jpss135660</w:t>
        </w:r>
      </w:hyperlink>
    </w:p>
    <w:p w:rsidR="4218E51C" w:rsidP="7B21BF7C" w:rsidRDefault="4218E51C" w14:paraId="7C5CAE67" w14:textId="2A74EAF8">
      <w:pPr>
        <w:spacing w:before="240" w:beforeAutospacing="off" w:after="240" w:afterAutospacing="off"/>
        <w:ind w:firstLine="720"/>
        <w:rPr>
          <w:rFonts w:ascii="Times New Roman" w:hAnsi="Times New Roman" w:eastAsia="Times New Roman" w:cs="Times New Roman"/>
          <w:sz w:val="24"/>
          <w:szCs w:val="24"/>
        </w:rPr>
      </w:pPr>
      <w:r w:rsidRPr="7B21BF7C" w:rsidR="4218E51C">
        <w:rPr>
          <w:rFonts w:ascii="Times New Roman" w:hAnsi="Times New Roman" w:eastAsia="Times New Roman" w:cs="Times New Roman"/>
          <w:noProof w:val="0"/>
          <w:sz w:val="24"/>
          <w:szCs w:val="24"/>
          <w:lang w:val="en-US"/>
        </w:rPr>
        <w:t xml:space="preserve">Hill, W., &amp; Woodward, L. S. (2013). </w:t>
      </w:r>
      <w:r w:rsidRPr="7B21BF7C" w:rsidR="4218E51C">
        <w:rPr>
          <w:rFonts w:ascii="Times New Roman" w:hAnsi="Times New Roman" w:eastAsia="Times New Roman" w:cs="Times New Roman"/>
          <w:i w:val="1"/>
          <w:iCs w:val="1"/>
          <w:noProof w:val="0"/>
          <w:sz w:val="24"/>
          <w:szCs w:val="24"/>
          <w:lang w:val="en-US"/>
        </w:rPr>
        <w:t>Examining the impact learning communities have on College of Education students on an urban campus.</w:t>
      </w:r>
      <w:r w:rsidRPr="7B21BF7C" w:rsidR="4218E51C">
        <w:rPr>
          <w:rFonts w:ascii="Times New Roman" w:hAnsi="Times New Roman" w:eastAsia="Times New Roman" w:cs="Times New Roman"/>
          <w:noProof w:val="0"/>
          <w:sz w:val="24"/>
          <w:szCs w:val="24"/>
          <w:lang w:val="en-US"/>
        </w:rPr>
        <w:t xml:space="preserve"> </w:t>
      </w:r>
      <w:r w:rsidRPr="7B21BF7C" w:rsidR="4218E51C">
        <w:rPr>
          <w:rFonts w:ascii="Times New Roman" w:hAnsi="Times New Roman" w:eastAsia="Times New Roman" w:cs="Times New Roman"/>
          <w:i w:val="1"/>
          <w:iCs w:val="1"/>
          <w:noProof w:val="0"/>
          <w:sz w:val="24"/>
          <w:szCs w:val="24"/>
          <w:lang w:val="en-US"/>
        </w:rPr>
        <w:t>Journal of College Student Development, 54</w:t>
      </w:r>
      <w:r w:rsidRPr="7B21BF7C" w:rsidR="4218E51C">
        <w:rPr>
          <w:rFonts w:ascii="Times New Roman" w:hAnsi="Times New Roman" w:eastAsia="Times New Roman" w:cs="Times New Roman"/>
          <w:noProof w:val="0"/>
          <w:sz w:val="24"/>
          <w:szCs w:val="24"/>
          <w:lang w:val="en-US"/>
        </w:rPr>
        <w:t xml:space="preserve">(6), 643–648. </w:t>
      </w:r>
      <w:hyperlink r:id="Rb92aea5170e34398">
        <w:r w:rsidRPr="7B21BF7C" w:rsidR="4218E51C">
          <w:rPr>
            <w:rStyle w:val="Hyperlink"/>
            <w:rFonts w:ascii="Times New Roman" w:hAnsi="Times New Roman" w:eastAsia="Times New Roman" w:cs="Times New Roman"/>
            <w:noProof w:val="0"/>
            <w:sz w:val="24"/>
            <w:szCs w:val="24"/>
            <w:lang w:val="en-US"/>
          </w:rPr>
          <w:t>https://doi.org/10.1353/csd.2013.0085</w:t>
        </w:r>
      </w:hyperlink>
    </w:p>
    <w:p w:rsidR="4218E51C" w:rsidP="7B21BF7C" w:rsidRDefault="4218E51C" w14:paraId="58C995E6" w14:textId="48ED3AF2">
      <w:pPr>
        <w:spacing w:before="240" w:beforeAutospacing="off" w:after="240" w:afterAutospacing="off"/>
        <w:ind w:firstLine="720"/>
        <w:rPr>
          <w:rFonts w:ascii="Times New Roman" w:hAnsi="Times New Roman" w:eastAsia="Times New Roman" w:cs="Times New Roman"/>
          <w:sz w:val="24"/>
          <w:szCs w:val="24"/>
        </w:rPr>
      </w:pPr>
      <w:r w:rsidRPr="7B21BF7C" w:rsidR="4218E51C">
        <w:rPr>
          <w:rFonts w:ascii="Times New Roman" w:hAnsi="Times New Roman" w:eastAsia="Times New Roman" w:cs="Times New Roman"/>
          <w:noProof w:val="0"/>
          <w:sz w:val="24"/>
          <w:szCs w:val="24"/>
          <w:lang w:val="en-US"/>
        </w:rPr>
        <w:t>Mrkich</w:t>
      </w:r>
      <w:r w:rsidRPr="7B21BF7C" w:rsidR="4218E51C">
        <w:rPr>
          <w:rFonts w:ascii="Times New Roman" w:hAnsi="Times New Roman" w:eastAsia="Times New Roman" w:cs="Times New Roman"/>
          <w:noProof w:val="0"/>
          <w:sz w:val="24"/>
          <w:szCs w:val="24"/>
          <w:lang w:val="en-US"/>
        </w:rPr>
        <w:t xml:space="preserve">, S., Pantazes, T., &amp; Marano, L. (2021). </w:t>
      </w:r>
      <w:r w:rsidRPr="7B21BF7C" w:rsidR="4218E51C">
        <w:rPr>
          <w:rFonts w:ascii="Times New Roman" w:hAnsi="Times New Roman" w:eastAsia="Times New Roman" w:cs="Times New Roman"/>
          <w:i w:val="1"/>
          <w:iCs w:val="1"/>
          <w:noProof w:val="0"/>
          <w:sz w:val="24"/>
          <w:szCs w:val="24"/>
          <w:lang w:val="en-US"/>
        </w:rPr>
        <w:t>It takes a Mob: Retention and success through First Year Experience.</w:t>
      </w:r>
      <w:r w:rsidRPr="7B21BF7C" w:rsidR="4218E51C">
        <w:rPr>
          <w:rFonts w:ascii="Times New Roman" w:hAnsi="Times New Roman" w:eastAsia="Times New Roman" w:cs="Times New Roman"/>
          <w:noProof w:val="0"/>
          <w:sz w:val="24"/>
          <w:szCs w:val="24"/>
          <w:lang w:val="en-US"/>
        </w:rPr>
        <w:t xml:space="preserve"> </w:t>
      </w:r>
      <w:r w:rsidRPr="7B21BF7C" w:rsidR="4218E51C">
        <w:rPr>
          <w:rFonts w:ascii="Times New Roman" w:hAnsi="Times New Roman" w:eastAsia="Times New Roman" w:cs="Times New Roman"/>
          <w:i w:val="1"/>
          <w:iCs w:val="1"/>
          <w:noProof w:val="0"/>
          <w:sz w:val="24"/>
          <w:szCs w:val="24"/>
          <w:lang w:val="en-US"/>
        </w:rPr>
        <w:t>Journal of Access, Retention, and Inclusion in Higher Education, 4</w:t>
      </w:r>
      <w:r w:rsidRPr="7B21BF7C" w:rsidR="4218E51C">
        <w:rPr>
          <w:rFonts w:ascii="Times New Roman" w:hAnsi="Times New Roman" w:eastAsia="Times New Roman" w:cs="Times New Roman"/>
          <w:noProof w:val="0"/>
          <w:sz w:val="24"/>
          <w:szCs w:val="24"/>
          <w:lang w:val="en-US"/>
        </w:rPr>
        <w:t xml:space="preserve">(1). Retrieved from </w:t>
      </w:r>
      <w:hyperlink r:id="Rca43b05bc6824484">
        <w:r w:rsidRPr="7B21BF7C" w:rsidR="4218E51C">
          <w:rPr>
            <w:rStyle w:val="Hyperlink"/>
            <w:rFonts w:ascii="Times New Roman" w:hAnsi="Times New Roman" w:eastAsia="Times New Roman" w:cs="Times New Roman"/>
            <w:noProof w:val="0"/>
            <w:sz w:val="24"/>
            <w:szCs w:val="24"/>
            <w:lang w:val="en-US"/>
          </w:rPr>
          <w:t>https://digitalcommons.wcupa.edu/jarihe/vol4/iss1/3</w:t>
        </w:r>
      </w:hyperlink>
    </w:p>
    <w:p w:rsidR="4218E51C" w:rsidP="7B21BF7C" w:rsidRDefault="4218E51C" w14:paraId="2C934325" w14:textId="3F159ECB">
      <w:pPr>
        <w:spacing w:before="240" w:beforeAutospacing="off" w:after="240" w:afterAutospacing="off"/>
        <w:ind w:firstLine="720"/>
        <w:rPr>
          <w:rFonts w:ascii="Times New Roman" w:hAnsi="Times New Roman" w:eastAsia="Times New Roman" w:cs="Times New Roman"/>
          <w:sz w:val="24"/>
          <w:szCs w:val="24"/>
        </w:rPr>
      </w:pPr>
      <w:r w:rsidRPr="7B21BF7C" w:rsidR="4218E51C">
        <w:rPr>
          <w:rFonts w:ascii="Times New Roman" w:hAnsi="Times New Roman" w:eastAsia="Times New Roman" w:cs="Times New Roman"/>
          <w:noProof w:val="0"/>
          <w:sz w:val="24"/>
          <w:szCs w:val="24"/>
          <w:lang w:val="en-US"/>
        </w:rPr>
        <w:t xml:space="preserve">Ribeiro, L., Rosário, P., Núñez, J. C., Gaeta, M., &amp; Fuentes, S. (2019). </w:t>
      </w:r>
      <w:r w:rsidRPr="7B21BF7C" w:rsidR="4218E51C">
        <w:rPr>
          <w:rFonts w:ascii="Times New Roman" w:hAnsi="Times New Roman" w:eastAsia="Times New Roman" w:cs="Times New Roman"/>
          <w:i w:val="1"/>
          <w:iCs w:val="1"/>
          <w:noProof w:val="0"/>
          <w:sz w:val="24"/>
          <w:szCs w:val="24"/>
          <w:lang w:val="en-US"/>
        </w:rPr>
        <w:t>First-year students’ background and academic achievement: The mediating role of student engagement.</w:t>
      </w:r>
      <w:r w:rsidRPr="7B21BF7C" w:rsidR="4218E51C">
        <w:rPr>
          <w:rFonts w:ascii="Times New Roman" w:hAnsi="Times New Roman" w:eastAsia="Times New Roman" w:cs="Times New Roman"/>
          <w:noProof w:val="0"/>
          <w:sz w:val="24"/>
          <w:szCs w:val="24"/>
          <w:lang w:val="en-US"/>
        </w:rPr>
        <w:t xml:space="preserve"> </w:t>
      </w:r>
      <w:r w:rsidRPr="7B21BF7C" w:rsidR="4218E51C">
        <w:rPr>
          <w:rFonts w:ascii="Times New Roman" w:hAnsi="Times New Roman" w:eastAsia="Times New Roman" w:cs="Times New Roman"/>
          <w:i w:val="1"/>
          <w:iCs w:val="1"/>
          <w:noProof w:val="0"/>
          <w:sz w:val="24"/>
          <w:szCs w:val="24"/>
          <w:lang w:val="en-US"/>
        </w:rPr>
        <w:t>Frontiers in Psychology, 10</w:t>
      </w:r>
      <w:r w:rsidRPr="7B21BF7C" w:rsidR="4218E51C">
        <w:rPr>
          <w:rFonts w:ascii="Times New Roman" w:hAnsi="Times New Roman" w:eastAsia="Times New Roman" w:cs="Times New Roman"/>
          <w:noProof w:val="0"/>
          <w:sz w:val="24"/>
          <w:szCs w:val="24"/>
          <w:lang w:val="en-US"/>
        </w:rPr>
        <w:t xml:space="preserve">, Article 2669. </w:t>
      </w:r>
      <w:hyperlink r:id="R9b6e5df6f19b4f2f">
        <w:r w:rsidRPr="7B21BF7C" w:rsidR="4218E51C">
          <w:rPr>
            <w:rStyle w:val="Hyperlink"/>
            <w:rFonts w:ascii="Times New Roman" w:hAnsi="Times New Roman" w:eastAsia="Times New Roman" w:cs="Times New Roman"/>
            <w:noProof w:val="0"/>
            <w:sz w:val="24"/>
            <w:szCs w:val="24"/>
            <w:lang w:val="en-US"/>
          </w:rPr>
          <w:t>https://doi.org/10.3389/fpsyg.2019.02669</w:t>
        </w:r>
      </w:hyperlink>
    </w:p>
    <w:p w:rsidR="4218E51C" w:rsidP="7B21BF7C" w:rsidRDefault="4218E51C" w14:paraId="2F32CE4F" w14:textId="5A5244C2">
      <w:pPr>
        <w:spacing w:before="240" w:beforeAutospacing="off" w:after="240" w:afterAutospacing="off"/>
        <w:ind w:firstLine="720"/>
        <w:rPr>
          <w:rFonts w:ascii="Times New Roman" w:hAnsi="Times New Roman" w:eastAsia="Times New Roman" w:cs="Times New Roman"/>
          <w:noProof w:val="0"/>
          <w:sz w:val="24"/>
          <w:szCs w:val="24"/>
          <w:lang w:val="en-US"/>
        </w:rPr>
      </w:pPr>
      <w:r w:rsidRPr="7B21BF7C" w:rsidR="4218E51C">
        <w:rPr>
          <w:rFonts w:ascii="Times New Roman" w:hAnsi="Times New Roman" w:eastAsia="Times New Roman" w:cs="Times New Roman"/>
          <w:noProof w:val="0"/>
          <w:sz w:val="24"/>
          <w:szCs w:val="24"/>
          <w:lang w:val="en-US"/>
        </w:rPr>
        <w:t xml:space="preserve">U.S. Department of Education. (2021). </w:t>
      </w:r>
      <w:r w:rsidRPr="7B21BF7C" w:rsidR="4218E51C">
        <w:rPr>
          <w:rFonts w:ascii="Times New Roman" w:hAnsi="Times New Roman" w:eastAsia="Times New Roman" w:cs="Times New Roman"/>
          <w:i w:val="1"/>
          <w:iCs w:val="1"/>
          <w:noProof w:val="0"/>
          <w:sz w:val="24"/>
          <w:szCs w:val="24"/>
          <w:lang w:val="en-US"/>
        </w:rPr>
        <w:t>Postsecondary degree completion rates among students on the Upward Bound/Upward Bound Math-Science to Student Support Services pathway.</w:t>
      </w:r>
      <w:r w:rsidRPr="7B21BF7C" w:rsidR="4218E51C">
        <w:rPr>
          <w:rFonts w:ascii="Times New Roman" w:hAnsi="Times New Roman" w:eastAsia="Times New Roman" w:cs="Times New Roman"/>
          <w:noProof w:val="0"/>
          <w:sz w:val="24"/>
          <w:szCs w:val="24"/>
          <w:lang w:val="en-US"/>
        </w:rPr>
        <w:t xml:space="preserve"> U.S. Department of Education, Office of Postsecondary Education.</w:t>
      </w:r>
    </w:p>
    <w:p w:rsidR="7B21BF7C" w:rsidP="7B21BF7C" w:rsidRDefault="7B21BF7C" w14:paraId="73C1AC91" w14:textId="11F06D26">
      <w:pPr>
        <w:pStyle w:val="Normal"/>
        <w:rPr>
          <w:rFonts w:ascii="Times New Roman" w:hAnsi="Times New Roman" w:eastAsia="Times New Roman" w:cs="Times New Roman"/>
          <w:noProof w:val="0"/>
          <w:sz w:val="24"/>
          <w:szCs w:val="24"/>
          <w:lang w:val="en-US"/>
        </w:rPr>
      </w:pPr>
    </w:p>
    <w:p w:rsidR="7B21BF7C" w:rsidP="7B21BF7C" w:rsidRDefault="7B21BF7C" w14:paraId="2E3E4550" w14:textId="3E7F716F">
      <w:pPr>
        <w:rPr>
          <w:rFonts w:ascii="Times New Roman" w:hAnsi="Times New Roman" w:eastAsia="Times New Roman" w:cs="Times New Roman"/>
          <w:sz w:val="24"/>
          <w:szCs w:val="24"/>
        </w:rPr>
      </w:pPr>
    </w:p>
    <w:p w:rsidR="7B21BF7C" w:rsidP="7B21BF7C" w:rsidRDefault="7B21BF7C" w14:paraId="0ECB5AC6" w14:textId="2D2EF4AD">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W" w:author="Glen Williams" w:date="2025-10-28T17:12:56" w:id="267422912">
    <w:p xmlns:w14="http://schemas.microsoft.com/office/word/2010/wordml" xmlns:w="http://schemas.openxmlformats.org/wordprocessingml/2006/main" w:rsidR="10C30116" w:rsidRDefault="42612F63" w14:paraId="3927CE3B" w14:textId="6DAD9B7E">
      <w:pPr>
        <w:pStyle w:val="CommentText"/>
      </w:pPr>
      <w:r>
        <w:rPr>
          <w:rStyle w:val="CommentReference"/>
        </w:rPr>
        <w:annotationRef/>
      </w:r>
      <w:r w:rsidRPr="2A930171" w:rsidR="59A2D694">
        <w:t>Would it be possible to add content around the methods/analysis for this article?</w:t>
      </w:r>
    </w:p>
  </w:comment>
</w:comments>
</file>

<file path=word/commentsExtended.xml><?xml version="1.0" encoding="utf-8"?>
<w15:commentsEx xmlns:mc="http://schemas.openxmlformats.org/markup-compatibility/2006" xmlns:w15="http://schemas.microsoft.com/office/word/2012/wordml" mc:Ignorable="w15">
  <w15:commentEx w15:done="1" w15:paraId="3927CE3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8BD775" w16cex:dateUtc="2025-10-28T22:12:56.352Z"/>
</w16cex:commentsExtensible>
</file>

<file path=word/commentsIds.xml><?xml version="1.0" encoding="utf-8"?>
<w16cid:commentsIds xmlns:mc="http://schemas.openxmlformats.org/markup-compatibility/2006" xmlns:w16cid="http://schemas.microsoft.com/office/word/2016/wordml/cid" mc:Ignorable="w16cid">
  <w16cid:commentId w16cid:paraId="3927CE3B" w16cid:durableId="2B8BD7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72bc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42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c2b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len Williams">
    <w15:presenceInfo w15:providerId="AD" w15:userId="S::51628718@nebraska.edu::44163648-3267-4117-b721-61c39720ba64"/>
  </w15:person>
  <w15:person w15:author="Glen Williams">
    <w15:presenceInfo w15:providerId="AD" w15:userId="S::51628718@nebraska.edu::44163648-3267-4117-b721-61c39720ba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AFE32D"/>
    <w:rsid w:val="0107105E"/>
    <w:rsid w:val="0120D841"/>
    <w:rsid w:val="02FB2416"/>
    <w:rsid w:val="0425C796"/>
    <w:rsid w:val="04327060"/>
    <w:rsid w:val="05C6923E"/>
    <w:rsid w:val="05F00466"/>
    <w:rsid w:val="0706CEE1"/>
    <w:rsid w:val="076C4A18"/>
    <w:rsid w:val="09A715A8"/>
    <w:rsid w:val="0C0DA504"/>
    <w:rsid w:val="0CF062B6"/>
    <w:rsid w:val="0D5130BD"/>
    <w:rsid w:val="0E95BAF5"/>
    <w:rsid w:val="0F69447B"/>
    <w:rsid w:val="1075E1C5"/>
    <w:rsid w:val="11FFDEB5"/>
    <w:rsid w:val="1237983C"/>
    <w:rsid w:val="12C97A6A"/>
    <w:rsid w:val="1571914C"/>
    <w:rsid w:val="163569BC"/>
    <w:rsid w:val="1679FDEA"/>
    <w:rsid w:val="16AF54EB"/>
    <w:rsid w:val="16BB87D6"/>
    <w:rsid w:val="1715516C"/>
    <w:rsid w:val="1715516C"/>
    <w:rsid w:val="17952633"/>
    <w:rsid w:val="17AFAE36"/>
    <w:rsid w:val="184CCC53"/>
    <w:rsid w:val="18E78464"/>
    <w:rsid w:val="1DE7AF06"/>
    <w:rsid w:val="1F457508"/>
    <w:rsid w:val="203D6133"/>
    <w:rsid w:val="20A1F08B"/>
    <w:rsid w:val="21DEED48"/>
    <w:rsid w:val="22EBC1AA"/>
    <w:rsid w:val="252AEAC3"/>
    <w:rsid w:val="25367051"/>
    <w:rsid w:val="25DCF683"/>
    <w:rsid w:val="2714117B"/>
    <w:rsid w:val="271ADDE5"/>
    <w:rsid w:val="272D6E38"/>
    <w:rsid w:val="2841D4DD"/>
    <w:rsid w:val="28CCBAF2"/>
    <w:rsid w:val="2979E1D3"/>
    <w:rsid w:val="298D70D9"/>
    <w:rsid w:val="29A22742"/>
    <w:rsid w:val="29AA947A"/>
    <w:rsid w:val="2A883C2D"/>
    <w:rsid w:val="2B4D2947"/>
    <w:rsid w:val="2B7DD9E5"/>
    <w:rsid w:val="2C22D2F4"/>
    <w:rsid w:val="2CBADAED"/>
    <w:rsid w:val="2CFA4395"/>
    <w:rsid w:val="2E45B78C"/>
    <w:rsid w:val="2E597DAA"/>
    <w:rsid w:val="2FCD541D"/>
    <w:rsid w:val="2FD942E6"/>
    <w:rsid w:val="30EB868C"/>
    <w:rsid w:val="30F4A838"/>
    <w:rsid w:val="31680A35"/>
    <w:rsid w:val="32D37091"/>
    <w:rsid w:val="337D4E15"/>
    <w:rsid w:val="34938DD2"/>
    <w:rsid w:val="34F84B4C"/>
    <w:rsid w:val="34F84B4C"/>
    <w:rsid w:val="362D18B4"/>
    <w:rsid w:val="363035CD"/>
    <w:rsid w:val="3731E51D"/>
    <w:rsid w:val="3771DC9D"/>
    <w:rsid w:val="389FBFB6"/>
    <w:rsid w:val="38C4021A"/>
    <w:rsid w:val="39AF6379"/>
    <w:rsid w:val="3A203FAC"/>
    <w:rsid w:val="3AC9395C"/>
    <w:rsid w:val="3AC9395C"/>
    <w:rsid w:val="3AE2937F"/>
    <w:rsid w:val="3AFC5632"/>
    <w:rsid w:val="3BB919D4"/>
    <w:rsid w:val="3C12A677"/>
    <w:rsid w:val="3D3D7C1F"/>
    <w:rsid w:val="3DB2AD3E"/>
    <w:rsid w:val="3E07D553"/>
    <w:rsid w:val="3E7EC0AB"/>
    <w:rsid w:val="3F5621F0"/>
    <w:rsid w:val="3F5E9E92"/>
    <w:rsid w:val="3F62043A"/>
    <w:rsid w:val="3F69B15B"/>
    <w:rsid w:val="3F7F17B1"/>
    <w:rsid w:val="4013977A"/>
    <w:rsid w:val="408053CB"/>
    <w:rsid w:val="4218E51C"/>
    <w:rsid w:val="4288F75F"/>
    <w:rsid w:val="43D7ABFC"/>
    <w:rsid w:val="45457397"/>
    <w:rsid w:val="4698F1A5"/>
    <w:rsid w:val="493DE247"/>
    <w:rsid w:val="4976E472"/>
    <w:rsid w:val="4A4494AB"/>
    <w:rsid w:val="4CF1E574"/>
    <w:rsid w:val="4D6BEC15"/>
    <w:rsid w:val="4DB1648D"/>
    <w:rsid w:val="4EDD13BF"/>
    <w:rsid w:val="507A326A"/>
    <w:rsid w:val="50BCCEE6"/>
    <w:rsid w:val="51224884"/>
    <w:rsid w:val="51BE325F"/>
    <w:rsid w:val="52841AE7"/>
    <w:rsid w:val="53423C54"/>
    <w:rsid w:val="56C487E8"/>
    <w:rsid w:val="576BD5DD"/>
    <w:rsid w:val="5790DBB5"/>
    <w:rsid w:val="57A42773"/>
    <w:rsid w:val="5911FD7C"/>
    <w:rsid w:val="59D71805"/>
    <w:rsid w:val="5A8DD776"/>
    <w:rsid w:val="5AAAF374"/>
    <w:rsid w:val="5AFB6F68"/>
    <w:rsid w:val="5D592364"/>
    <w:rsid w:val="5E147A8A"/>
    <w:rsid w:val="5E760DA7"/>
    <w:rsid w:val="5EDFCCE6"/>
    <w:rsid w:val="5FC09B4D"/>
    <w:rsid w:val="617824DC"/>
    <w:rsid w:val="61BFF53C"/>
    <w:rsid w:val="61D56206"/>
    <w:rsid w:val="6216A905"/>
    <w:rsid w:val="62FEE5D2"/>
    <w:rsid w:val="63B8FE49"/>
    <w:rsid w:val="64478B1E"/>
    <w:rsid w:val="65729D4C"/>
    <w:rsid w:val="6789AE20"/>
    <w:rsid w:val="696199F4"/>
    <w:rsid w:val="69E8F707"/>
    <w:rsid w:val="6A220B82"/>
    <w:rsid w:val="6AE40F21"/>
    <w:rsid w:val="6C067248"/>
    <w:rsid w:val="6C4CAC67"/>
    <w:rsid w:val="6D03AB06"/>
    <w:rsid w:val="6E366E3A"/>
    <w:rsid w:val="6EA17516"/>
    <w:rsid w:val="6EB6F37F"/>
    <w:rsid w:val="6EC191BC"/>
    <w:rsid w:val="6ED1F59B"/>
    <w:rsid w:val="6F891A26"/>
    <w:rsid w:val="6FAFADF6"/>
    <w:rsid w:val="704473BA"/>
    <w:rsid w:val="7113C136"/>
    <w:rsid w:val="7122C91F"/>
    <w:rsid w:val="72787456"/>
    <w:rsid w:val="72AFE32D"/>
    <w:rsid w:val="735AEC2D"/>
    <w:rsid w:val="73DFF48D"/>
    <w:rsid w:val="740388B3"/>
    <w:rsid w:val="74501067"/>
    <w:rsid w:val="75A00F1A"/>
    <w:rsid w:val="75C9D3ED"/>
    <w:rsid w:val="7673FC02"/>
    <w:rsid w:val="77D642A8"/>
    <w:rsid w:val="79816383"/>
    <w:rsid w:val="7B21BF7C"/>
    <w:rsid w:val="7B998087"/>
    <w:rsid w:val="7CFFE0E7"/>
    <w:rsid w:val="7E7F89FE"/>
    <w:rsid w:val="7EAEEE5E"/>
    <w:rsid w:val="7F08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E32D"/>
  <w15:chartTrackingRefBased/>
  <w15:docId w15:val="{73553266-C90C-424D-9C2C-390AD5642D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B21BF7C"/>
    <w:pPr>
      <w:spacing/>
      <w:ind w:left="720"/>
      <w:contextualSpacing/>
    </w:pPr>
  </w:style>
  <w:style w:type="character" w:styleId="Hyperlink">
    <w:uiPriority w:val="99"/>
    <w:name w:val="Hyperlink"/>
    <w:basedOn w:val="DefaultParagraphFont"/>
    <w:unhideWhenUsed/>
    <w:rsid w:val="7B21BF7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c40e1afd3c4f4a0b" /><Relationship Type="http://schemas.microsoft.com/office/2011/relationships/people" Target="people.xml" Id="R96e09e5349ab49c6" /><Relationship Type="http://schemas.microsoft.com/office/2011/relationships/commentsExtended" Target="commentsExtended.xml" Id="R22abc02844c9400b" /><Relationship Type="http://schemas.microsoft.com/office/2016/09/relationships/commentsIds" Target="commentsIds.xml" Id="Ra991e4e3f0124512" /><Relationship Type="http://schemas.microsoft.com/office/2018/08/relationships/commentsExtensible" Target="commentsExtensible.xml" Id="R1fc745dc2f30435b" /><Relationship Type="http://schemas.openxmlformats.org/officeDocument/2006/relationships/hyperlink" Target="https://login.leo.lib.unomaha.edu/login?qurl=https%3A%2F%2Fwww.proquest.com%2Fscholarly-journals%2Fstudent-retention-models-higher-education%2Fdocview%2F2232610556%2Fse-2%3Faccountid%3D14692" TargetMode="External" Id="R08a9703db74c4472" /><Relationship Type="http://schemas.openxmlformats.org/officeDocument/2006/relationships/hyperlink" Target="https://doi.org/10.33009/fsop_jpss135660" TargetMode="External" Id="R623d7ac075fd46c2" /><Relationship Type="http://schemas.openxmlformats.org/officeDocument/2006/relationships/hyperlink" Target="https://doi.org/10.1353/csd.2013.0085" TargetMode="External" Id="Rb92aea5170e34398" /><Relationship Type="http://schemas.openxmlformats.org/officeDocument/2006/relationships/hyperlink" Target="https://digitalcommons.wcupa.edu/jarihe/vol4/iss1/3" TargetMode="External" Id="Rca43b05bc6824484" /><Relationship Type="http://schemas.openxmlformats.org/officeDocument/2006/relationships/hyperlink" Target="https://doi.org/10.3389/fpsyg.2019.02669" TargetMode="External" Id="R9b6e5df6f19b4f2f" /><Relationship Type="http://schemas.openxmlformats.org/officeDocument/2006/relationships/numbering" Target="numbering.xml" Id="Raf5d9e62eb9242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2025-10-27T23:47:16.3857412Z</dcterms:created>
  <dcterms:modified xsi:type="dcterms:W3CDTF">2025-11-01T14:05:00.1321704Z</dcterms:modified>
  <dc:creator>Glen Williams</dc:creator>
  <lastModifiedBy>Anima Upadhyay</lastModifiedBy>
</coreProperties>
</file>