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p>
    <w:p>
      <w:pPr>
        <w:spacing w:after="160"/>
      </w:pPr>
    </w:p>
    <w:p>
      <w:pPr>
        <w:spacing w:after="700"/>
        <w:jc w:val="center"/>
      </w:pPr>
      <w:r>
        <w:drawing>
          <wp:inline xmlns:a="http://schemas.openxmlformats.org/drawingml/2006/main" xmlns:pic="http://schemas.openxmlformats.org/drawingml/2006/picture">
            <wp:extent cx="4480560" cy="2117765"/>
            <wp:docPr id="1" name="Picture 1"/>
            <wp:cNvGraphicFramePr>
              <a:graphicFrameLocks noChangeAspect="1"/>
            </wp:cNvGraphicFramePr>
            <a:graphic>
              <a:graphicData uri="http://schemas.openxmlformats.org/drawingml/2006/picture">
                <pic:pic>
                  <pic:nvPicPr>
                    <pic:cNvPr id="0" name="engicite-logo-transparent.png"/>
                    <pic:cNvPicPr/>
                  </pic:nvPicPr>
                  <pic:blipFill>
                    <a:blip r:embed="rId12"/>
                    <a:stretch>
                      <a:fillRect/>
                    </a:stretch>
                  </pic:blipFill>
                  <pic:spPr>
                    <a:xfrm>
                      <a:off x="0" y="0"/>
                      <a:ext cx="4480560" cy="2117765"/>
                    </a:xfrm>
                    <a:prstGeom prst="rect"/>
                  </pic:spPr>
                </pic:pic>
              </a:graphicData>
            </a:graphic>
          </wp:inline>
        </w:drawing>
      </w:r>
    </w:p>
    <w:p>
      <w:pPr>
        <w:pStyle w:val="Kicker"/>
      </w:pPr>
      <w:r>
        <w:t>MARKETING BLUEPRINT / PRODUCT CAPABILITY NARRATIVE</w:t>
      </w:r>
    </w:p>
    <w:p>
      <w:pPr>
        <w:keepNext/>
        <w:spacing w:before="0" w:after="260"/>
        <w:jc w:val="left"/>
      </w:pPr>
      <w:r>
        <w:rPr>
          <w:rFonts w:ascii="Calibri" w:hAnsi="Calibri"/>
          <w:b/>
          <w:i w:val="0"/>
          <w:color w:val="082345"/>
          <w:sz w:val="62"/>
        </w:rPr>
        <w:t>Control every deliverable.</w:t>
        <w:br/>
        <w:t>Cite every decision.</w:t>
      </w:r>
    </w:p>
    <w:p>
      <w:pPr>
        <w:spacing w:after="500" w:line="293" w:lineRule="auto"/>
        <w:jc w:val="left"/>
      </w:pPr>
      <w:r>
        <w:rPr>
          <w:rFonts w:ascii="Calibri" w:hAnsi="Calibri"/>
          <w:b w:val="0"/>
          <w:i w:val="0"/>
          <w:color w:val="5E6B7A"/>
          <w:sz w:val="23"/>
        </w:rPr>
        <w:t>A buyer-focused blueprint for positioning, demonstrating and launching EngiCite as the engineering document control and intelligence workspace for complex projects.</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9360"/>
      </w:tblGrid>
      <w:tr>
        <w:tc>
          <w:tcPr>
            <w:tcW w:type="dxa" w:w="9360"/>
            <w:tcMar>
              <w:top w:w="220" w:type="dxa"/>
              <w:start w:w="260" w:type="dxa"/>
              <w:bottom w:w="220" w:type="dxa"/>
              <w:end w:w="260" w:type="dxa"/>
            </w:tcMar>
            <w:shd w:fill="082345"/>
          </w:tcPr>
          <w:p>
            <w:pPr>
              <w:spacing w:after="100"/>
            </w:pPr>
            <w:r>
              <w:rPr>
                <w:rFonts w:ascii="Calibri" w:hAnsi="Calibri"/>
                <w:b/>
                <w:i w:val="0"/>
                <w:color w:val="ED7138"/>
                <w:sz w:val="18"/>
              </w:rPr>
              <w:t>THE PRODUCT IN ONE SENTENCE</w:t>
            </w:r>
          </w:p>
          <w:p>
            <w:pPr>
              <w:spacing w:after="0" w:line="283" w:lineRule="auto"/>
            </w:pPr>
            <w:r>
              <w:rPr>
                <w:rFonts w:ascii="Calibri" w:hAnsi="Calibri"/>
                <w:b/>
                <w:i w:val="0"/>
                <w:color w:val="FFFFFF"/>
                <w:sz w:val="26"/>
              </w:rPr>
              <w:t>EngiCite helps EPC, EPCIC and owner teams plan the MDR, coordinate discipline submissions, control every revision, issue client transmittals and retrieve project knowledge with verifiable evidence.</w:t>
            </w:r>
          </w:p>
        </w:tc>
      </w:tr>
    </w:tbl>
    <w:p>
      <w:pPr>
        <w:spacing w:before="480" w:after="80"/>
      </w:pPr>
      <w:r>
        <w:rPr>
          <w:rFonts w:ascii="Calibri" w:hAnsi="Calibri"/>
          <w:b/>
          <w:i w:val="0"/>
          <w:color w:val="ED7138"/>
          <w:sz w:val="18"/>
        </w:rPr>
        <w:t>Prepared for</w:t>
      </w:r>
    </w:p>
    <w:p>
      <w:pPr>
        <w:spacing w:after="60"/>
      </w:pPr>
      <w:r>
        <w:rPr>
          <w:rFonts w:ascii="Calibri" w:hAnsi="Calibri"/>
          <w:b w:val="0"/>
          <w:i w:val="0"/>
          <w:color w:val="14263D"/>
          <w:sz w:val="22"/>
        </w:rPr>
        <w:t>EngiCite leadership, commercial partners, pilot customers and sales representatives</w:t>
      </w:r>
    </w:p>
    <w:p>
      <w:pPr>
        <w:pStyle w:val="SmallNote"/>
      </w:pPr>
      <w:r>
        <w:t>Version 1.0  |  13 August 2026  |  Internal working document</w:t>
      </w:r>
    </w:p>
    <w:p>
      <w:r>
        <w:br w:type="page"/>
      </w:r>
    </w:p>
    <w:p>
      <w:pPr>
        <w:pStyle w:val="Kicker"/>
      </w:pPr>
      <w:r>
        <w:t>EXECUTIVE BLUEPRINT</w:t>
      </w:r>
    </w:p>
    <w:p>
      <w:pPr>
        <w:keepNext/>
        <w:spacing w:before="0" w:after="160"/>
        <w:jc w:val="left"/>
      </w:pPr>
      <w:r>
        <w:rPr>
          <w:rFonts w:ascii="Calibri" w:hAnsi="Calibri"/>
          <w:b/>
          <w:i w:val="0"/>
          <w:color w:val="082345"/>
          <w:sz w:val="46"/>
        </w:rPr>
        <w:t>A controlled operating system for engineering information</w:t>
      </w:r>
    </w:p>
    <w:p>
      <w:pPr>
        <w:spacing w:after="240" w:line="293" w:lineRule="auto"/>
        <w:jc w:val="left"/>
      </w:pPr>
      <w:r>
        <w:rPr>
          <w:rFonts w:ascii="Calibri" w:hAnsi="Calibri"/>
          <w:b w:val="0"/>
          <w:i w:val="0"/>
          <w:color w:val="5E6B7A"/>
          <w:sz w:val="23"/>
        </w:rPr>
        <w:t>EngiCite is not simply cloud storage. It connects the project plan, the MDR, discipline ownership, revision evidence, DCC acceptance, progress reporting and formal issue into one traceable workflow.</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4680"/>
        <w:gridCol w:w="4680"/>
      </w:tblGrid>
      <w:tr>
        <w:tc>
          <w:tcPr>
            <w:tcW w:type="dxa" w:w="4680"/>
            <w:tcMar>
              <w:top w:w="170" w:type="dxa"/>
              <w:start w:w="180" w:type="dxa"/>
              <w:bottom w:w="170" w:type="dxa"/>
              <w:end w:w="180" w:type="dxa"/>
            </w:tcMar>
            <w:shd w:fill="F4F7FA"/>
          </w:tcPr>
          <w:p>
            <w:pPr>
              <w:spacing w:after="40"/>
            </w:pPr>
            <w:r>
              <w:rPr>
                <w:rFonts w:ascii="Calibri" w:hAnsi="Calibri"/>
                <w:b/>
                <w:i w:val="0"/>
                <w:color w:val="082345"/>
                <w:sz w:val="40"/>
              </w:rPr>
              <w:t>1</w:t>
            </w:r>
          </w:p>
          <w:p>
            <w:pPr>
              <w:spacing w:after="0"/>
            </w:pPr>
            <w:r>
              <w:rPr>
                <w:rFonts w:ascii="Calibri" w:hAnsi="Calibri"/>
                <w:b/>
                <w:i w:val="0"/>
                <w:color w:val="5E6B7A"/>
                <w:sz w:val="17"/>
              </w:rPr>
              <w:t>CONTROLLED SOURCE OF TRUTH</w:t>
            </w:r>
          </w:p>
        </w:tc>
        <w:tc>
          <w:tcPr>
            <w:tcW w:type="dxa" w:w="4680"/>
            <w:tcMar>
              <w:top w:w="170" w:type="dxa"/>
              <w:start w:w="180" w:type="dxa"/>
              <w:bottom w:w="170" w:type="dxa"/>
              <w:end w:w="180" w:type="dxa"/>
            </w:tcMar>
            <w:shd w:fill="F4F7FA"/>
          </w:tcPr>
          <w:p>
            <w:pPr>
              <w:spacing w:after="40"/>
            </w:pPr>
            <w:r>
              <w:rPr>
                <w:rFonts w:ascii="Calibri" w:hAnsi="Calibri"/>
                <w:b/>
                <w:i w:val="0"/>
                <w:color w:val="ED7138"/>
                <w:sz w:val="40"/>
              </w:rPr>
              <w:t>5</w:t>
            </w:r>
          </w:p>
          <w:p>
            <w:pPr>
              <w:spacing w:after="0"/>
            </w:pPr>
            <w:r>
              <w:rPr>
                <w:rFonts w:ascii="Calibri" w:hAnsi="Calibri"/>
                <w:b/>
                <w:i w:val="0"/>
                <w:color w:val="5E6B7A"/>
                <w:sz w:val="17"/>
              </w:rPr>
              <w:t>ROLE-SPECIFIC WORKSPACES</w:t>
            </w:r>
          </w:p>
        </w:tc>
      </w:tr>
      <w:tr>
        <w:tc>
          <w:tcPr>
            <w:tcW w:type="dxa" w:w="4680"/>
            <w:tcMar>
              <w:top w:w="170" w:type="dxa"/>
              <w:start w:w="180" w:type="dxa"/>
              <w:bottom w:w="170" w:type="dxa"/>
              <w:end w:w="180" w:type="dxa"/>
            </w:tcMar>
            <w:shd w:fill="F4F7FA"/>
          </w:tcPr>
          <w:p>
            <w:pPr>
              <w:spacing w:after="40"/>
            </w:pPr>
            <w:r>
              <w:rPr>
                <w:rFonts w:ascii="Calibri" w:hAnsi="Calibri"/>
                <w:b/>
                <w:i w:val="0"/>
                <w:color w:val="16785B"/>
                <w:sz w:val="40"/>
              </w:rPr>
              <w:t>100%</w:t>
            </w:r>
          </w:p>
          <w:p>
            <w:pPr>
              <w:spacing w:after="0"/>
            </w:pPr>
            <w:r>
              <w:rPr>
                <w:rFonts w:ascii="Calibri" w:hAnsi="Calibri"/>
                <w:b/>
                <w:i w:val="0"/>
                <w:color w:val="5E6B7A"/>
                <w:sz w:val="17"/>
              </w:rPr>
              <w:t>EVIDENCE-BACKED AI TARGET</w:t>
            </w:r>
          </w:p>
        </w:tc>
        <w:tc>
          <w:tcPr>
            <w:tcW w:type="dxa" w:w="4680"/>
            <w:tcMar>
              <w:top w:w="170" w:type="dxa"/>
              <w:start w:w="180" w:type="dxa"/>
              <w:bottom w:w="170" w:type="dxa"/>
              <w:end w:w="180" w:type="dxa"/>
            </w:tcMar>
            <w:shd w:fill="F4F7FA"/>
          </w:tcPr>
          <w:p>
            <w:pPr>
              <w:spacing w:after="40"/>
            </w:pPr>
            <w:r>
              <w:rPr>
                <w:rFonts w:ascii="Calibri" w:hAnsi="Calibri"/>
                <w:b/>
                <w:i w:val="0"/>
                <w:color w:val="082345"/>
                <w:sz w:val="40"/>
              </w:rPr>
              <w:t>7 years</w:t>
            </w:r>
          </w:p>
          <w:p>
            <w:pPr>
              <w:spacing w:after="0"/>
            </w:pPr>
            <w:r>
              <w:rPr>
                <w:rFonts w:ascii="Calibri" w:hAnsi="Calibri"/>
                <w:b/>
                <w:i w:val="0"/>
                <w:color w:val="5E6B7A"/>
                <w:sz w:val="17"/>
              </w:rPr>
              <w:t>AUDIT-RETENTION DESIGN TARGET</w:t>
            </w:r>
          </w:p>
        </w:tc>
      </w:tr>
    </w:tbl>
    <w:p>
      <w:pPr>
        <w:spacing w:after="60"/>
      </w:pPr>
    </w:p>
    <w:p>
      <w:pPr>
        <w:spacing w:after="120"/>
      </w:pPr>
      <w:r>
        <w:rPr>
          <w:rFonts w:ascii="Calibri" w:hAnsi="Calibri"/>
          <w:b/>
          <w:i w:val="0"/>
          <w:color w:val="14263D"/>
          <w:sz w:val="22"/>
        </w:rPr>
        <w:t>The commercial story</w:t>
      </w:r>
      <w:r>
        <w:rPr>
          <w:rFonts w:ascii="Calibri" w:hAnsi="Calibri"/>
          <w:b w:val="0"/>
          <w:i w:val="0"/>
          <w:color w:val="14263D"/>
          <w:sz w:val="22"/>
        </w:rPr>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480"/>
        <w:gridCol w:w="8880"/>
      </w:tblGrid>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20"/>
              </w:rPr>
              <w:t xml:space="preserve">Plan with confidence. </w:t>
            </w:r>
            <w:r>
              <w:rPr>
                <w:rFonts w:ascii="Calibri" w:hAnsi="Calibri"/>
                <w:b w:val="0"/>
                <w:i w:val="0"/>
                <w:color w:val="14263D"/>
                <w:sz w:val="20"/>
              </w:rPr>
              <w:t>Turn an approved deliverables list or Excel MDR into a live, discipline-organised register with due dates.</w:t>
            </w:r>
          </w:p>
        </w:tc>
      </w:tr>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20"/>
              </w:rPr>
              <w:t xml:space="preserve">Control submission quality. </w:t>
            </w:r>
            <w:r>
              <w:rPr>
                <w:rFonts w:ascii="Calibri" w:hAnsi="Calibri"/>
                <w:b w:val="0"/>
                <w:i w:val="0"/>
                <w:color w:val="14263D"/>
                <w:sz w:val="20"/>
              </w:rPr>
              <w:t>Engineers upload only against assigned discipline deliverables; DCC previews and accepts before controlled issue.</w:t>
            </w:r>
          </w:p>
        </w:tc>
      </w:tr>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20"/>
              </w:rPr>
              <w:t xml:space="preserve">See slippage early. </w:t>
            </w:r>
            <w:r>
              <w:rPr>
                <w:rFonts w:ascii="Calibri" w:hAnsi="Calibri"/>
                <w:b w:val="0"/>
                <w:i w:val="0"/>
                <w:color w:val="14263D"/>
                <w:sz w:val="20"/>
              </w:rPr>
              <w:t>Progress, overdue work, discipline performance, weekly look-ahead and variance are visible before they become client problems.</w:t>
            </w:r>
          </w:p>
        </w:tc>
      </w:tr>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20"/>
              </w:rPr>
              <w:t xml:space="preserve">Issue professionally. </w:t>
            </w:r>
            <w:r>
              <w:rPr>
                <w:rFonts w:ascii="Calibri" w:hAnsi="Calibri"/>
                <w:b w:val="0"/>
                <w:i w:val="0"/>
                <w:color w:val="14263D"/>
                <w:sz w:val="20"/>
              </w:rPr>
              <w:t>Freeze accepted revisions into work packages and client transmittals with a controlled acknowledgement trail.</w:t>
            </w:r>
          </w:p>
        </w:tc>
      </w:tr>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20"/>
              </w:rPr>
              <w:t xml:space="preserve">Find the proof. </w:t>
            </w:r>
            <w:r>
              <w:rPr>
                <w:rFonts w:ascii="Calibri" w:hAnsi="Calibri"/>
                <w:b w:val="0"/>
                <w:i w:val="0"/>
                <w:color w:val="14263D"/>
                <w:sz w:val="20"/>
              </w:rPr>
              <w:t>Search and AI workflows return project evidence with document, revision and page-level provenance.</w:t>
            </w:r>
          </w:p>
        </w:tc>
      </w:tr>
    </w:tbl>
    <w:p>
      <w:pPr>
        <w:spacing w:after="0"/>
      </w:pPr>
    </w:p>
    <w:p>
      <w:pPr>
        <w:pStyle w:val="SmallNote"/>
        <w:spacing w:before="160"/>
      </w:pPr>
      <w:r>
        <w:t>Blueprint reading guide: interface pages show the current development build; status pages distinguish demonstrated, configuration-dependent and release-readiness capabilities.</w:t>
      </w:r>
    </w:p>
    <w:p>
      <w:r>
        <w:br w:type="page"/>
      </w:r>
    </w:p>
    <w:p>
      <w:pPr>
        <w:pStyle w:val="Kicker"/>
      </w:pPr>
      <w:r>
        <w:t>MARKET NEED AND POSITIONING</w:t>
      </w:r>
    </w:p>
    <w:p>
      <w:pPr>
        <w:keepNext/>
        <w:spacing w:before="0" w:after="160"/>
        <w:jc w:val="left"/>
      </w:pPr>
      <w:r>
        <w:rPr>
          <w:rFonts w:ascii="Calibri" w:hAnsi="Calibri"/>
          <w:b/>
          <w:i w:val="0"/>
          <w:color w:val="082345"/>
          <w:sz w:val="44"/>
        </w:rPr>
        <w:t>Engineering delivery is still fragmented across spreadsheets, folders and email</w:t>
      </w:r>
    </w:p>
    <w:p>
      <w:pPr>
        <w:spacing w:after="240" w:line="293" w:lineRule="auto"/>
        <w:jc w:val="left"/>
      </w:pPr>
      <w:r>
        <w:rPr>
          <w:rFonts w:ascii="Calibri" w:hAnsi="Calibri"/>
          <w:b w:val="0"/>
          <w:i w:val="0"/>
          <w:color w:val="5E6B7A"/>
          <w:sz w:val="23"/>
        </w:rPr>
        <w:t>The cost is not just time spent searching. It is weak ownership, late submissions, uncontrolled revisions, incomplete handover records and management decisions made without reliable evidence.</w:t>
      </w:r>
    </w:p>
    <w:tbl>
      <w:tblPr>
        <w:tblW w:type="dxa" w:w="9360"/>
        <w:jc w:val="left"/>
        <w:tblLayout w:type="fixed"/>
        <w:tblLook w:firstColumn="1" w:firstRow="1" w:lastColumn="0" w:lastRow="0" w:noHBand="0" w:noVBand="1" w:val="04A0"/>
        <w:tblInd w:w="120" w:type="dxa"/>
        <w:tblBorders>
          <w:top w:val="single" w:sz="5" w:color="DDE5EC"/>
          <w:left w:val="single" w:sz="5" w:color="DDE5EC"/>
          <w:bottom w:val="single" w:sz="5" w:color="DDE5EC"/>
          <w:right w:val="single" w:sz="5" w:color="DDE5EC"/>
          <w:insideH w:val="single" w:sz="5" w:color="DDE5EC"/>
          <w:insideV w:val="single" w:sz="5" w:color="DDE5EC"/>
        </w:tblBorders>
      </w:tblPr>
      <w:tblGrid>
        <w:gridCol w:w="1800"/>
        <w:gridCol w:w="3300"/>
        <w:gridCol w:w="4260"/>
      </w:tblGrid>
      <w:tr>
        <w:trPr>
          <w:tblHeader w:val="true"/>
        </w:trPr>
        <w:tc>
          <w:tcPr>
            <w:tcW w:type="dxa" w:w="1800"/>
            <w:tcMar>
              <w:top w:w="80" w:type="dxa"/>
              <w:start w:w="120" w:type="dxa"/>
              <w:bottom w:w="80" w:type="dxa"/>
              <w:end w:w="120" w:type="dxa"/>
            </w:tcMar>
            <w:shd w:fill="082345"/>
          </w:tcPr>
          <w:p>
            <w:pPr>
              <w:spacing w:after="0"/>
            </w:pPr>
            <w:r>
              <w:rPr>
                <w:rFonts w:ascii="Calibri" w:hAnsi="Calibri"/>
                <w:b/>
                <w:i w:val="0"/>
                <w:color w:val="FFFFFF"/>
                <w:sz w:val="17"/>
              </w:rPr>
              <w:t>Market pain</w:t>
            </w:r>
          </w:p>
        </w:tc>
        <w:tc>
          <w:tcPr>
            <w:tcW w:type="dxa" w:w="3300"/>
            <w:tcMar>
              <w:top w:w="80" w:type="dxa"/>
              <w:start w:w="120" w:type="dxa"/>
              <w:bottom w:w="80" w:type="dxa"/>
              <w:end w:w="120" w:type="dxa"/>
            </w:tcMar>
            <w:shd w:fill="082345"/>
          </w:tcPr>
          <w:p>
            <w:pPr>
              <w:spacing w:after="0"/>
            </w:pPr>
            <w:r>
              <w:rPr>
                <w:rFonts w:ascii="Calibri" w:hAnsi="Calibri"/>
                <w:b/>
                <w:i w:val="0"/>
                <w:color w:val="FFFFFF"/>
                <w:sz w:val="17"/>
              </w:rPr>
              <w:t>What teams experience</w:t>
            </w:r>
          </w:p>
        </w:tc>
        <w:tc>
          <w:tcPr>
            <w:tcW w:type="dxa" w:w="4260"/>
            <w:tcMar>
              <w:top w:w="80" w:type="dxa"/>
              <w:start w:w="120" w:type="dxa"/>
              <w:bottom w:w="80" w:type="dxa"/>
              <w:end w:w="120" w:type="dxa"/>
            </w:tcMar>
            <w:shd w:fill="082345"/>
          </w:tcPr>
          <w:p>
            <w:pPr>
              <w:spacing w:after="0"/>
            </w:pPr>
            <w:r>
              <w:rPr>
                <w:rFonts w:ascii="Calibri" w:hAnsi="Calibri"/>
                <w:b/>
                <w:i w:val="0"/>
                <w:color w:val="FFFFFF"/>
                <w:sz w:val="17"/>
              </w:rPr>
              <w:t>EngiCite response</w:t>
            </w:r>
          </w:p>
        </w:tc>
      </w:tr>
      <w:tr>
        <w:tc>
          <w:tcPr>
            <w:tcW w:type="dxa" w:w="1800"/>
            <w:shd w:fill="FFFFFF"/>
          </w:tcPr>
          <w:p>
            <w:pPr>
              <w:spacing w:after="0"/>
            </w:pPr>
            <w:r>
              <w:rPr>
                <w:rFonts w:ascii="Calibri" w:hAnsi="Calibri"/>
                <w:b/>
                <w:i w:val="0"/>
                <w:color w:val="082345"/>
                <w:sz w:val="17"/>
              </w:rPr>
              <w:t>MDR administration</w:t>
            </w:r>
          </w:p>
        </w:tc>
        <w:tc>
          <w:tcPr>
            <w:tcW w:type="dxa" w:w="3300"/>
            <w:shd w:fill="FFFFFF"/>
          </w:tcPr>
          <w:p>
            <w:pPr>
              <w:spacing w:after="0"/>
            </w:pPr>
            <w:r>
              <w:rPr>
                <w:rFonts w:ascii="Calibri" w:hAnsi="Calibri"/>
                <w:b w:val="0"/>
                <w:i w:val="0"/>
                <w:color w:val="14263D"/>
                <w:sz w:val="17"/>
              </w:rPr>
              <w:t>Manual entry, inconsistent naming and slow updates</w:t>
            </w:r>
          </w:p>
        </w:tc>
        <w:tc>
          <w:tcPr>
            <w:tcW w:type="dxa" w:w="4260"/>
            <w:shd w:fill="FFFFFF"/>
          </w:tcPr>
          <w:p>
            <w:pPr>
              <w:spacing w:after="0"/>
            </w:pPr>
            <w:r>
              <w:rPr>
                <w:rFonts w:ascii="Calibri" w:hAnsi="Calibri"/>
                <w:b w:val="0"/>
                <w:i w:val="0"/>
                <w:color w:val="14263D"/>
                <w:sz w:val="17"/>
              </w:rPr>
              <w:t>Excel import plus a structured, discipline-grouped register</w:t>
            </w:r>
          </w:p>
        </w:tc>
      </w:tr>
      <w:tr>
        <w:tc>
          <w:tcPr>
            <w:tcW w:type="dxa" w:w="1800"/>
            <w:shd w:fill="F4F7FA"/>
          </w:tcPr>
          <w:p>
            <w:pPr>
              <w:spacing w:after="0"/>
            </w:pPr>
            <w:r>
              <w:rPr>
                <w:rFonts w:ascii="Calibri" w:hAnsi="Calibri"/>
                <w:b/>
                <w:i w:val="0"/>
                <w:color w:val="082345"/>
                <w:sz w:val="17"/>
              </w:rPr>
              <w:t>Discipline coordination</w:t>
            </w:r>
          </w:p>
        </w:tc>
        <w:tc>
          <w:tcPr>
            <w:tcW w:type="dxa" w:w="3300"/>
            <w:shd w:fill="F4F7FA"/>
          </w:tcPr>
          <w:p>
            <w:pPr>
              <w:spacing w:after="0"/>
            </w:pPr>
            <w:r>
              <w:rPr>
                <w:rFonts w:ascii="Calibri" w:hAnsi="Calibri"/>
                <w:b w:val="0"/>
                <w:i w:val="0"/>
                <w:color w:val="14263D"/>
                <w:sz w:val="17"/>
              </w:rPr>
              <w:t>Engineers submit through email or the wrong folder</w:t>
            </w:r>
          </w:p>
        </w:tc>
        <w:tc>
          <w:tcPr>
            <w:tcW w:type="dxa" w:w="4260"/>
            <w:shd w:fill="F4F7FA"/>
          </w:tcPr>
          <w:p>
            <w:pPr>
              <w:spacing w:after="0"/>
            </w:pPr>
            <w:r>
              <w:rPr>
                <w:rFonts w:ascii="Calibri" w:hAnsi="Calibri"/>
                <w:b w:val="0"/>
                <w:i w:val="0"/>
                <w:color w:val="14263D"/>
                <w:sz w:val="17"/>
              </w:rPr>
              <w:t>Assigned discipline workspaces and controlled upload routes</w:t>
            </w:r>
          </w:p>
        </w:tc>
      </w:tr>
      <w:tr>
        <w:tc>
          <w:tcPr>
            <w:tcW w:type="dxa" w:w="1800"/>
            <w:shd w:fill="FFFFFF"/>
          </w:tcPr>
          <w:p>
            <w:pPr>
              <w:spacing w:after="0"/>
            </w:pPr>
            <w:r>
              <w:rPr>
                <w:rFonts w:ascii="Calibri" w:hAnsi="Calibri"/>
                <w:b/>
                <w:i w:val="0"/>
                <w:color w:val="082345"/>
                <w:sz w:val="17"/>
              </w:rPr>
              <w:t>Revision confidence</w:t>
            </w:r>
          </w:p>
        </w:tc>
        <w:tc>
          <w:tcPr>
            <w:tcW w:type="dxa" w:w="3300"/>
            <w:shd w:fill="FFFFFF"/>
          </w:tcPr>
          <w:p>
            <w:pPr>
              <w:spacing w:after="0"/>
            </w:pPr>
            <w:r>
              <w:rPr>
                <w:rFonts w:ascii="Calibri" w:hAnsi="Calibri"/>
                <w:b w:val="0"/>
                <w:i w:val="0"/>
                <w:color w:val="14263D"/>
                <w:sz w:val="17"/>
              </w:rPr>
              <w:t>Teams cannot easily confirm the latest accepted file</w:t>
            </w:r>
          </w:p>
        </w:tc>
        <w:tc>
          <w:tcPr>
            <w:tcW w:type="dxa" w:w="4260"/>
            <w:shd w:fill="FFFFFF"/>
          </w:tcPr>
          <w:p>
            <w:pPr>
              <w:spacing w:after="0"/>
            </w:pPr>
            <w:r>
              <w:rPr>
                <w:rFonts w:ascii="Calibri" w:hAnsi="Calibri"/>
                <w:b w:val="0"/>
                <w:i w:val="0"/>
                <w:color w:val="14263D"/>
                <w:sz w:val="17"/>
              </w:rPr>
              <w:t>Immutable revision history, preview and DCC acceptance</w:t>
            </w:r>
          </w:p>
        </w:tc>
      </w:tr>
      <w:tr>
        <w:tc>
          <w:tcPr>
            <w:tcW w:type="dxa" w:w="1800"/>
            <w:shd w:fill="F4F7FA"/>
          </w:tcPr>
          <w:p>
            <w:pPr>
              <w:spacing w:after="0"/>
            </w:pPr>
            <w:r>
              <w:rPr>
                <w:rFonts w:ascii="Calibri" w:hAnsi="Calibri"/>
                <w:b/>
                <w:i w:val="0"/>
                <w:color w:val="082345"/>
                <w:sz w:val="17"/>
              </w:rPr>
              <w:t>Schedule visibility</w:t>
            </w:r>
          </w:p>
        </w:tc>
        <w:tc>
          <w:tcPr>
            <w:tcW w:type="dxa" w:w="3300"/>
            <w:shd w:fill="F4F7FA"/>
          </w:tcPr>
          <w:p>
            <w:pPr>
              <w:spacing w:after="0"/>
            </w:pPr>
            <w:r>
              <w:rPr>
                <w:rFonts w:ascii="Calibri" w:hAnsi="Calibri"/>
                <w:b w:val="0"/>
                <w:i w:val="0"/>
                <w:color w:val="14263D"/>
                <w:sz w:val="17"/>
              </w:rPr>
              <w:t>Missed dates become visible only during meetings</w:t>
            </w:r>
          </w:p>
        </w:tc>
        <w:tc>
          <w:tcPr>
            <w:tcW w:type="dxa" w:w="4260"/>
            <w:shd w:fill="F4F7FA"/>
          </w:tcPr>
          <w:p>
            <w:pPr>
              <w:spacing w:after="0"/>
            </w:pPr>
            <w:r>
              <w:rPr>
                <w:rFonts w:ascii="Calibri" w:hAnsi="Calibri"/>
                <w:b w:val="0"/>
                <w:i w:val="0"/>
                <w:color w:val="14263D"/>
                <w:sz w:val="17"/>
              </w:rPr>
              <w:t>Due dates, overdue alerts, progress and weekly look-ahead</w:t>
            </w:r>
          </w:p>
        </w:tc>
      </w:tr>
      <w:tr>
        <w:tc>
          <w:tcPr>
            <w:tcW w:type="dxa" w:w="1800"/>
            <w:shd w:fill="FFFFFF"/>
          </w:tcPr>
          <w:p>
            <w:pPr>
              <w:spacing w:after="0"/>
            </w:pPr>
            <w:r>
              <w:rPr>
                <w:rFonts w:ascii="Calibri" w:hAnsi="Calibri"/>
                <w:b/>
                <w:i w:val="0"/>
                <w:color w:val="082345"/>
                <w:sz w:val="17"/>
              </w:rPr>
              <w:t>Client issue</w:t>
            </w:r>
          </w:p>
        </w:tc>
        <w:tc>
          <w:tcPr>
            <w:tcW w:type="dxa" w:w="3300"/>
            <w:shd w:fill="FFFFFF"/>
          </w:tcPr>
          <w:p>
            <w:pPr>
              <w:spacing w:after="0"/>
            </w:pPr>
            <w:r>
              <w:rPr>
                <w:rFonts w:ascii="Calibri" w:hAnsi="Calibri"/>
                <w:b w:val="0"/>
                <w:i w:val="0"/>
                <w:color w:val="14263D"/>
                <w:sz w:val="17"/>
              </w:rPr>
              <w:t>Transmittals are assembled manually with weak traceability</w:t>
            </w:r>
          </w:p>
        </w:tc>
        <w:tc>
          <w:tcPr>
            <w:tcW w:type="dxa" w:w="4260"/>
            <w:shd w:fill="FFFFFF"/>
          </w:tcPr>
          <w:p>
            <w:pPr>
              <w:spacing w:after="0"/>
            </w:pPr>
            <w:r>
              <w:rPr>
                <w:rFonts w:ascii="Calibri" w:hAnsi="Calibri"/>
                <w:b w:val="0"/>
                <w:i w:val="0"/>
                <w:color w:val="14263D"/>
                <w:sz w:val="17"/>
              </w:rPr>
              <w:t>Frozen issue sets, transmittal numbers and acknowledgement covers</w:t>
            </w:r>
          </w:p>
        </w:tc>
      </w:tr>
      <w:tr>
        <w:tc>
          <w:tcPr>
            <w:tcW w:type="dxa" w:w="1800"/>
            <w:shd w:fill="F4F7FA"/>
          </w:tcPr>
          <w:p>
            <w:pPr>
              <w:spacing w:after="0"/>
            </w:pPr>
            <w:r>
              <w:rPr>
                <w:rFonts w:ascii="Calibri" w:hAnsi="Calibri"/>
                <w:b/>
                <w:i w:val="0"/>
                <w:color w:val="082345"/>
                <w:sz w:val="17"/>
              </w:rPr>
              <w:t>Knowledge retrieval</w:t>
            </w:r>
          </w:p>
        </w:tc>
        <w:tc>
          <w:tcPr>
            <w:tcW w:type="dxa" w:w="3300"/>
            <w:shd w:fill="F4F7FA"/>
          </w:tcPr>
          <w:p>
            <w:pPr>
              <w:spacing w:after="0"/>
            </w:pPr>
            <w:r>
              <w:rPr>
                <w:rFonts w:ascii="Calibri" w:hAnsi="Calibri"/>
                <w:b w:val="0"/>
                <w:i w:val="0"/>
                <w:color w:val="14263D"/>
                <w:sz w:val="17"/>
              </w:rPr>
              <w:t>Users search filenames rather than engineering evidence</w:t>
            </w:r>
          </w:p>
        </w:tc>
        <w:tc>
          <w:tcPr>
            <w:tcW w:type="dxa" w:w="4260"/>
            <w:shd w:fill="F4F7FA"/>
          </w:tcPr>
          <w:p>
            <w:pPr>
              <w:spacing w:after="0"/>
            </w:pPr>
            <w:r>
              <w:rPr>
                <w:rFonts w:ascii="Calibri" w:hAnsi="Calibri"/>
                <w:b w:val="0"/>
                <w:i w:val="0"/>
                <w:color w:val="14263D"/>
                <w:sz w:val="17"/>
              </w:rPr>
              <w:t>Full-text, semantic retrieval and citation-grounded answers</w:t>
            </w:r>
          </w:p>
        </w:tc>
      </w:tr>
    </w:tbl>
    <w:p>
      <w:pPr>
        <w:spacing w:after="40"/>
      </w:pP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9360"/>
      </w:tblGrid>
      <w:tr>
        <w:tc>
          <w:tcPr>
            <w:tcW w:type="dxa" w:w="9360"/>
            <w:tcMar>
              <w:top w:w="220" w:type="dxa"/>
              <w:start w:w="260" w:type="dxa"/>
              <w:bottom w:w="220" w:type="dxa"/>
              <w:end w:w="260" w:type="dxa"/>
            </w:tcMar>
            <w:shd w:fill="082345"/>
          </w:tcPr>
          <w:p>
            <w:pPr>
              <w:spacing w:after="100"/>
            </w:pPr>
            <w:r>
              <w:rPr>
                <w:rFonts w:ascii="Calibri" w:hAnsi="Calibri"/>
                <w:b/>
                <w:i w:val="0"/>
                <w:color w:val="ED7138"/>
                <w:sz w:val="18"/>
              </w:rPr>
              <w:t>CATEGORY POSITION</w:t>
            </w:r>
          </w:p>
          <w:p>
            <w:pPr>
              <w:spacing w:after="0" w:line="283" w:lineRule="auto"/>
            </w:pPr>
            <w:r>
              <w:rPr>
                <w:rFonts w:ascii="Calibri" w:hAnsi="Calibri"/>
                <w:b/>
                <w:i w:val="0"/>
                <w:color w:val="FFFFFF"/>
                <w:sz w:val="26"/>
              </w:rPr>
              <w:t>EngiCite is the engineering document control and intelligence platform for project teams that need disciplined delivery and defensible evidence - without forcing every user to become a document-control expert.</w:t>
            </w:r>
          </w:p>
        </w:tc>
      </w:tr>
    </w:tbl>
    <w:p>
      <w:r>
        <w:br w:type="page"/>
      </w:r>
    </w:p>
    <w:p>
      <w:pPr>
        <w:pStyle w:val="Kicker"/>
      </w:pPr>
      <w:r>
        <w:t>IDEAL CUSTOMER PROFILE AND BUYERS</w:t>
      </w:r>
    </w:p>
    <w:p>
      <w:pPr>
        <w:keepNext/>
        <w:spacing w:before="0" w:after="160"/>
        <w:jc w:val="left"/>
      </w:pPr>
      <w:r>
        <w:rPr>
          <w:rFonts w:ascii="Calibri" w:hAnsi="Calibri"/>
          <w:b/>
          <w:i w:val="0"/>
          <w:color w:val="082345"/>
          <w:sz w:val="44"/>
        </w:rPr>
        <w:t>Start where document complexity and delivery risk are both high</w:t>
      </w:r>
    </w:p>
    <w:p>
      <w:pPr>
        <w:spacing w:after="240" w:line="293" w:lineRule="auto"/>
        <w:jc w:val="left"/>
      </w:pPr>
      <w:r>
        <w:rPr>
          <w:rFonts w:ascii="Calibri" w:hAnsi="Calibri"/>
          <w:b w:val="0"/>
          <w:i w:val="0"/>
          <w:color w:val="5E6B7A"/>
          <w:sz w:val="23"/>
        </w:rPr>
        <w:t>The strongest early market is project-based engineering work where multiple disciplines produce controlled deliverables against contractual dates.</w:t>
      </w:r>
    </w:p>
    <w:tbl>
      <w:tblPr>
        <w:tblW w:type="dxa" w:w="9360"/>
        <w:jc w:val="left"/>
        <w:tblLayout w:type="fixed"/>
        <w:tblLook w:firstColumn="1" w:firstRow="1" w:lastColumn="0" w:lastRow="0" w:noHBand="0" w:noVBand="1" w:val="04A0"/>
        <w:tblInd w:w="120" w:type="dxa"/>
        <w:tblBorders>
          <w:top w:val="single" w:sz="5" w:color="DDE5EC"/>
          <w:left w:val="single" w:sz="5" w:color="DDE5EC"/>
          <w:bottom w:val="single" w:sz="5" w:color="DDE5EC"/>
          <w:right w:val="single" w:sz="5" w:color="DDE5EC"/>
          <w:insideH w:val="single" w:sz="5" w:color="DDE5EC"/>
          <w:insideV w:val="single" w:sz="5" w:color="DDE5EC"/>
        </w:tblBorders>
      </w:tblPr>
      <w:tblGrid>
        <w:gridCol w:w="2100"/>
        <w:gridCol w:w="3300"/>
        <w:gridCol w:w="3960"/>
      </w:tblGrid>
      <w:tr>
        <w:trPr>
          <w:tblHeader w:val="true"/>
        </w:trPr>
        <w:tc>
          <w:tcPr>
            <w:tcW w:type="dxa" w:w="2100"/>
            <w:tcMar>
              <w:top w:w="80" w:type="dxa"/>
              <w:start w:w="120" w:type="dxa"/>
              <w:bottom w:w="80" w:type="dxa"/>
              <w:end w:w="120" w:type="dxa"/>
            </w:tcMar>
            <w:shd w:fill="082345"/>
          </w:tcPr>
          <w:p>
            <w:pPr>
              <w:spacing w:after="0"/>
            </w:pPr>
            <w:r>
              <w:rPr>
                <w:rFonts w:ascii="Calibri" w:hAnsi="Calibri"/>
                <w:b/>
                <w:i w:val="0"/>
                <w:color w:val="FFFFFF"/>
                <w:sz w:val="17"/>
              </w:rPr>
              <w:t>Priority segment</w:t>
            </w:r>
          </w:p>
        </w:tc>
        <w:tc>
          <w:tcPr>
            <w:tcW w:type="dxa" w:w="3300"/>
            <w:tcMar>
              <w:top w:w="80" w:type="dxa"/>
              <w:start w:w="120" w:type="dxa"/>
              <w:bottom w:w="80" w:type="dxa"/>
              <w:end w:w="120" w:type="dxa"/>
            </w:tcMar>
            <w:shd w:fill="082345"/>
          </w:tcPr>
          <w:p>
            <w:pPr>
              <w:spacing w:after="0"/>
            </w:pPr>
            <w:r>
              <w:rPr>
                <w:rFonts w:ascii="Calibri" w:hAnsi="Calibri"/>
                <w:b/>
                <w:i w:val="0"/>
                <w:color w:val="FFFFFF"/>
                <w:sz w:val="17"/>
              </w:rPr>
              <w:t>Buying trigger</w:t>
            </w:r>
          </w:p>
        </w:tc>
        <w:tc>
          <w:tcPr>
            <w:tcW w:type="dxa" w:w="3960"/>
            <w:tcMar>
              <w:top w:w="80" w:type="dxa"/>
              <w:start w:w="120" w:type="dxa"/>
              <w:bottom w:w="80" w:type="dxa"/>
              <w:end w:w="120" w:type="dxa"/>
            </w:tcMar>
            <w:shd w:fill="082345"/>
          </w:tcPr>
          <w:p>
            <w:pPr>
              <w:spacing w:after="0"/>
            </w:pPr>
            <w:r>
              <w:rPr>
                <w:rFonts w:ascii="Calibri" w:hAnsi="Calibri"/>
                <w:b/>
                <w:i w:val="0"/>
                <w:color w:val="FFFFFF"/>
                <w:sz w:val="17"/>
              </w:rPr>
              <w:t>Primary value</w:t>
            </w:r>
          </w:p>
        </w:tc>
      </w:tr>
      <w:tr>
        <w:tc>
          <w:tcPr>
            <w:tcW w:type="dxa" w:w="2100"/>
            <w:shd w:fill="FFFFFF"/>
          </w:tcPr>
          <w:p>
            <w:pPr>
              <w:spacing w:after="0"/>
            </w:pPr>
            <w:r>
              <w:rPr>
                <w:rFonts w:ascii="Calibri" w:hAnsi="Calibri"/>
                <w:b/>
                <w:i w:val="0"/>
                <w:color w:val="082345"/>
                <w:sz w:val="18"/>
              </w:rPr>
              <w:t>EPC / EPCIC contractors</w:t>
            </w:r>
          </w:p>
        </w:tc>
        <w:tc>
          <w:tcPr>
            <w:tcW w:type="dxa" w:w="3300"/>
            <w:shd w:fill="FFFFFF"/>
          </w:tcPr>
          <w:p>
            <w:pPr>
              <w:spacing w:after="0"/>
            </w:pPr>
            <w:r>
              <w:rPr>
                <w:rFonts w:ascii="Calibri" w:hAnsi="Calibri"/>
                <w:b w:val="0"/>
                <w:i w:val="0"/>
                <w:color w:val="14263D"/>
                <w:sz w:val="18"/>
              </w:rPr>
              <w:t>New FEED, DED, brownfield or construction project</w:t>
            </w:r>
          </w:p>
        </w:tc>
        <w:tc>
          <w:tcPr>
            <w:tcW w:type="dxa" w:w="3960"/>
            <w:shd w:fill="FFFFFF"/>
          </w:tcPr>
          <w:p>
            <w:pPr>
              <w:spacing w:after="0"/>
            </w:pPr>
            <w:r>
              <w:rPr>
                <w:rFonts w:ascii="Calibri" w:hAnsi="Calibri"/>
                <w:b w:val="0"/>
                <w:i w:val="0"/>
                <w:color w:val="14263D"/>
                <w:sz w:val="18"/>
              </w:rPr>
              <w:t>Faster mobilisation, fewer late deliverables, controlled client issue</w:t>
            </w:r>
          </w:p>
        </w:tc>
      </w:tr>
      <w:tr>
        <w:tc>
          <w:tcPr>
            <w:tcW w:type="dxa" w:w="2100"/>
            <w:shd w:fill="F4F7FA"/>
          </w:tcPr>
          <w:p>
            <w:pPr>
              <w:spacing w:after="0"/>
            </w:pPr>
            <w:r>
              <w:rPr>
                <w:rFonts w:ascii="Calibri" w:hAnsi="Calibri"/>
                <w:b/>
                <w:i w:val="0"/>
                <w:color w:val="082345"/>
                <w:sz w:val="18"/>
              </w:rPr>
              <w:t>Owner-operators</w:t>
            </w:r>
          </w:p>
        </w:tc>
        <w:tc>
          <w:tcPr>
            <w:tcW w:type="dxa" w:w="3300"/>
            <w:shd w:fill="F4F7FA"/>
          </w:tcPr>
          <w:p>
            <w:pPr>
              <w:spacing w:after="0"/>
            </w:pPr>
            <w:r>
              <w:rPr>
                <w:rFonts w:ascii="Calibri" w:hAnsi="Calibri"/>
                <w:b w:val="0"/>
                <w:i w:val="0"/>
                <w:color w:val="14263D"/>
                <w:sz w:val="18"/>
              </w:rPr>
              <w:t>Multiple contractors and inconsistent handover records</w:t>
            </w:r>
          </w:p>
        </w:tc>
        <w:tc>
          <w:tcPr>
            <w:tcW w:type="dxa" w:w="3960"/>
            <w:shd w:fill="F4F7FA"/>
          </w:tcPr>
          <w:p>
            <w:pPr>
              <w:spacing w:after="0"/>
            </w:pPr>
            <w:r>
              <w:rPr>
                <w:rFonts w:ascii="Calibri" w:hAnsi="Calibri"/>
                <w:b w:val="0"/>
                <w:i w:val="0"/>
                <w:color w:val="14263D"/>
                <w:sz w:val="18"/>
              </w:rPr>
              <w:t>Oversight, auditability and a durable project knowledge base</w:t>
            </w:r>
          </w:p>
        </w:tc>
      </w:tr>
      <w:tr>
        <w:tc>
          <w:tcPr>
            <w:tcW w:type="dxa" w:w="2100"/>
            <w:shd w:fill="FFFFFF"/>
          </w:tcPr>
          <w:p>
            <w:pPr>
              <w:spacing w:after="0"/>
            </w:pPr>
            <w:r>
              <w:rPr>
                <w:rFonts w:ascii="Calibri" w:hAnsi="Calibri"/>
                <w:b/>
                <w:i w:val="0"/>
                <w:color w:val="082345"/>
                <w:sz w:val="18"/>
              </w:rPr>
              <w:t>Engineering consultancies</w:t>
            </w:r>
          </w:p>
        </w:tc>
        <w:tc>
          <w:tcPr>
            <w:tcW w:type="dxa" w:w="3300"/>
            <w:shd w:fill="FFFFFF"/>
          </w:tcPr>
          <w:p>
            <w:pPr>
              <w:spacing w:after="0"/>
            </w:pPr>
            <w:r>
              <w:rPr>
                <w:rFonts w:ascii="Calibri" w:hAnsi="Calibri"/>
                <w:b w:val="0"/>
                <w:i w:val="0"/>
                <w:color w:val="14263D"/>
                <w:sz w:val="18"/>
              </w:rPr>
              <w:t>Growing project portfolio managed through Excel and shared drives</w:t>
            </w:r>
          </w:p>
        </w:tc>
        <w:tc>
          <w:tcPr>
            <w:tcW w:type="dxa" w:w="3960"/>
            <w:shd w:fill="FFFFFF"/>
          </w:tcPr>
          <w:p>
            <w:pPr>
              <w:spacing w:after="0"/>
            </w:pPr>
            <w:r>
              <w:rPr>
                <w:rFonts w:ascii="Calibri" w:hAnsi="Calibri"/>
                <w:b w:val="0"/>
                <w:i w:val="0"/>
                <w:color w:val="14263D"/>
                <w:sz w:val="18"/>
              </w:rPr>
              <w:t>Standardised workflows without heavyweight enterprise rollout</w:t>
            </w:r>
          </w:p>
        </w:tc>
      </w:tr>
      <w:tr>
        <w:tc>
          <w:tcPr>
            <w:tcW w:type="dxa" w:w="2100"/>
            <w:shd w:fill="F4F7FA"/>
          </w:tcPr>
          <w:p>
            <w:pPr>
              <w:spacing w:after="0"/>
            </w:pPr>
            <w:r>
              <w:rPr>
                <w:rFonts w:ascii="Calibri" w:hAnsi="Calibri"/>
                <w:b/>
                <w:i w:val="0"/>
                <w:color w:val="082345"/>
                <w:sz w:val="18"/>
              </w:rPr>
              <w:t>Document-control service firms</w:t>
            </w:r>
          </w:p>
        </w:tc>
        <w:tc>
          <w:tcPr>
            <w:tcW w:type="dxa" w:w="3300"/>
            <w:shd w:fill="F4F7FA"/>
          </w:tcPr>
          <w:p>
            <w:pPr>
              <w:spacing w:after="0"/>
            </w:pPr>
            <w:r>
              <w:rPr>
                <w:rFonts w:ascii="Calibri" w:hAnsi="Calibri"/>
                <w:b w:val="0"/>
                <w:i w:val="0"/>
                <w:color w:val="14263D"/>
                <w:sz w:val="18"/>
              </w:rPr>
              <w:t>Need to manage several clients with clear separation</w:t>
            </w:r>
          </w:p>
        </w:tc>
        <w:tc>
          <w:tcPr>
            <w:tcW w:type="dxa" w:w="3960"/>
            <w:shd w:fill="F4F7FA"/>
          </w:tcPr>
          <w:p>
            <w:pPr>
              <w:spacing w:after="0"/>
            </w:pPr>
            <w:r>
              <w:rPr>
                <w:rFonts w:ascii="Calibri" w:hAnsi="Calibri"/>
                <w:b w:val="0"/>
                <w:i w:val="0"/>
                <w:color w:val="14263D"/>
                <w:sz w:val="18"/>
              </w:rPr>
              <w:t>Multi-tenant controls and repeatable DCC operations</w:t>
            </w:r>
          </w:p>
        </w:tc>
      </w:tr>
    </w:tbl>
    <w:p>
      <w:pPr>
        <w:spacing w:after="60"/>
      </w:pPr>
    </w:p>
    <w:p>
      <w:pPr>
        <w:spacing w:after="120"/>
      </w:pPr>
      <w:r>
        <w:rPr>
          <w:rFonts w:ascii="Calibri" w:hAnsi="Calibri"/>
          <w:b/>
          <w:i w:val="0"/>
          <w:color w:val="14263D"/>
          <w:sz w:val="22"/>
        </w:rPr>
        <w:t>The buying committee</w:t>
      </w:r>
      <w:r>
        <w:rPr>
          <w:rFonts w:ascii="Calibri" w:hAnsi="Calibri"/>
          <w:b w:val="0"/>
          <w:i w:val="0"/>
          <w:color w:val="14263D"/>
          <w:sz w:val="22"/>
        </w:rPr>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480"/>
        <w:gridCol w:w="8880"/>
      </w:tblGrid>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9"/>
              </w:rPr>
              <w:t xml:space="preserve">Economic buyer - Project Director / Operations Director: </w:t>
            </w:r>
            <w:r>
              <w:rPr>
                <w:rFonts w:ascii="Calibri" w:hAnsi="Calibri"/>
                <w:b w:val="0"/>
                <w:i w:val="0"/>
                <w:color w:val="14263D"/>
                <w:sz w:val="19"/>
              </w:rPr>
              <w:t>cares about risk, schedule, client confidence and predictable project reporting.</w:t>
            </w:r>
          </w:p>
        </w:tc>
      </w:tr>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9"/>
              </w:rPr>
              <w:t xml:space="preserve">Champion - Lead Document Controller: </w:t>
            </w:r>
            <w:r>
              <w:rPr>
                <w:rFonts w:ascii="Calibri" w:hAnsi="Calibri"/>
                <w:b w:val="0"/>
                <w:i w:val="0"/>
                <w:color w:val="14263D"/>
                <w:sz w:val="19"/>
              </w:rPr>
              <w:t>cares about MDR speed, revision accuracy, submission quality and formal transmission.</w:t>
            </w:r>
          </w:p>
        </w:tc>
      </w:tr>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9"/>
              </w:rPr>
              <w:t xml:space="preserve">Technical approver - IT / Information Security: </w:t>
            </w:r>
            <w:r>
              <w:rPr>
                <w:rFonts w:ascii="Calibri" w:hAnsi="Calibri"/>
                <w:b w:val="0"/>
                <w:i w:val="0"/>
                <w:color w:val="14263D"/>
                <w:sz w:val="19"/>
              </w:rPr>
              <w:t>cares about tenant isolation, access controls, auditability, retention and recovery.</w:t>
            </w:r>
          </w:p>
        </w:tc>
      </w:tr>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9"/>
              </w:rPr>
              <w:t xml:space="preserve">Daily user - Discipline Engineer: </w:t>
            </w:r>
            <w:r>
              <w:rPr>
                <w:rFonts w:ascii="Calibri" w:hAnsi="Calibri"/>
                <w:b w:val="0"/>
                <w:i w:val="0"/>
                <w:color w:val="14263D"/>
                <w:sz w:val="19"/>
              </w:rPr>
              <w:t>cares about a clear personal queue, due dates, simple upload and rapid feedback.</w:t>
            </w:r>
          </w:p>
        </w:tc>
      </w:tr>
    </w:tbl>
    <w:p>
      <w:pPr>
        <w:spacing w:after="0"/>
      </w:pPr>
    </w:p>
    <w:p>
      <w:r>
        <w:br w:type="page"/>
      </w:r>
    </w:p>
    <w:p>
      <w:pPr>
        <w:pStyle w:val="Kicker"/>
      </w:pPr>
      <w:r>
        <w:t>ROLE-SPECIFIC OPERATING MODEL</w:t>
      </w:r>
    </w:p>
    <w:p>
      <w:pPr>
        <w:keepNext/>
        <w:spacing w:before="0" w:after="160"/>
        <w:jc w:val="left"/>
      </w:pPr>
      <w:r>
        <w:rPr>
          <w:rFonts w:ascii="Calibri" w:hAnsi="Calibri"/>
          <w:b/>
          <w:i w:val="0"/>
          <w:color w:val="082345"/>
          <w:sz w:val="44"/>
        </w:rPr>
        <w:t>Each person sees the work they are accountable for</w:t>
      </w:r>
    </w:p>
    <w:p>
      <w:pPr>
        <w:spacing w:after="240" w:line="293" w:lineRule="auto"/>
        <w:jc w:val="left"/>
      </w:pPr>
      <w:r>
        <w:rPr>
          <w:rFonts w:ascii="Calibri" w:hAnsi="Calibri"/>
          <w:b w:val="0"/>
          <w:i w:val="0"/>
          <w:color w:val="5E6B7A"/>
          <w:sz w:val="23"/>
        </w:rPr>
        <w:t>EngiCite separates management oversight, document-control authority and engineering submission responsibility so that one login does not expose every control to every user.</w:t>
      </w:r>
    </w:p>
    <w:tbl>
      <w:tblPr>
        <w:tblW w:type="dxa" w:w="9360"/>
        <w:jc w:val="left"/>
        <w:tblLayout w:type="fixed"/>
        <w:tblLook w:firstColumn="1" w:firstRow="1" w:lastColumn="0" w:lastRow="0" w:noHBand="0" w:noVBand="1" w:val="04A0"/>
        <w:tblInd w:w="120" w:type="dxa"/>
        <w:tblBorders>
          <w:top w:val="single" w:sz="5" w:color="DDE5EC"/>
          <w:left w:val="single" w:sz="5" w:color="DDE5EC"/>
          <w:bottom w:val="single" w:sz="5" w:color="DDE5EC"/>
          <w:right w:val="single" w:sz="5" w:color="DDE5EC"/>
          <w:insideH w:val="single" w:sz="5" w:color="DDE5EC"/>
          <w:insideV w:val="single" w:sz="5" w:color="DDE5EC"/>
        </w:tblBorders>
      </w:tblPr>
      <w:tblGrid>
        <w:gridCol w:w="1900"/>
        <w:gridCol w:w="3000"/>
        <w:gridCol w:w="4460"/>
      </w:tblGrid>
      <w:tr>
        <w:trPr>
          <w:tblHeader w:val="true"/>
        </w:trPr>
        <w:tc>
          <w:tcPr>
            <w:tcW w:type="dxa" w:w="1900"/>
            <w:tcMar>
              <w:top w:w="80" w:type="dxa"/>
              <w:start w:w="120" w:type="dxa"/>
              <w:bottom w:w="80" w:type="dxa"/>
              <w:end w:w="120" w:type="dxa"/>
            </w:tcMar>
            <w:shd w:fill="082345"/>
          </w:tcPr>
          <w:p>
            <w:pPr>
              <w:spacing w:after="0"/>
            </w:pPr>
            <w:r>
              <w:rPr>
                <w:rFonts w:ascii="Calibri" w:hAnsi="Calibri"/>
                <w:b/>
                <w:i w:val="0"/>
                <w:color w:val="FFFFFF"/>
                <w:sz w:val="17"/>
              </w:rPr>
              <w:t>Role</w:t>
            </w:r>
          </w:p>
        </w:tc>
        <w:tc>
          <w:tcPr>
            <w:tcW w:type="dxa" w:w="3000"/>
            <w:tcMar>
              <w:top w:w="80" w:type="dxa"/>
              <w:start w:w="120" w:type="dxa"/>
              <w:bottom w:w="80" w:type="dxa"/>
              <w:end w:w="120" w:type="dxa"/>
            </w:tcMar>
            <w:shd w:fill="082345"/>
          </w:tcPr>
          <w:p>
            <w:pPr>
              <w:spacing w:after="0"/>
            </w:pPr>
            <w:r>
              <w:rPr>
                <w:rFonts w:ascii="Calibri" w:hAnsi="Calibri"/>
                <w:b/>
                <w:i w:val="0"/>
                <w:color w:val="FFFFFF"/>
                <w:sz w:val="17"/>
              </w:rPr>
              <w:t>Primary workspace</w:t>
            </w:r>
          </w:p>
        </w:tc>
        <w:tc>
          <w:tcPr>
            <w:tcW w:type="dxa" w:w="4460"/>
            <w:tcMar>
              <w:top w:w="80" w:type="dxa"/>
              <w:start w:w="120" w:type="dxa"/>
              <w:bottom w:w="80" w:type="dxa"/>
              <w:end w:w="120" w:type="dxa"/>
            </w:tcMar>
            <w:shd w:fill="082345"/>
          </w:tcPr>
          <w:p>
            <w:pPr>
              <w:spacing w:after="0"/>
            </w:pPr>
            <w:r>
              <w:rPr>
                <w:rFonts w:ascii="Calibri" w:hAnsi="Calibri"/>
                <w:b/>
                <w:i w:val="0"/>
                <w:color w:val="FFFFFF"/>
                <w:sz w:val="17"/>
              </w:rPr>
              <w:t>Core responsibility</w:t>
            </w:r>
          </w:p>
        </w:tc>
      </w:tr>
      <w:tr>
        <w:tc>
          <w:tcPr>
            <w:tcW w:type="dxa" w:w="1900"/>
            <w:shd w:fill="FFFFFF"/>
          </w:tcPr>
          <w:p>
            <w:pPr>
              <w:spacing w:after="0"/>
            </w:pPr>
            <w:r>
              <w:rPr>
                <w:rFonts w:ascii="Calibri" w:hAnsi="Calibri"/>
                <w:b/>
                <w:i w:val="0"/>
                <w:color w:val="082345"/>
                <w:sz w:val="17"/>
              </w:rPr>
              <w:t>Organisation administrator</w:t>
            </w:r>
          </w:p>
        </w:tc>
        <w:tc>
          <w:tcPr>
            <w:tcW w:type="dxa" w:w="3000"/>
            <w:shd w:fill="FFFFFF"/>
          </w:tcPr>
          <w:p>
            <w:pPr>
              <w:spacing w:after="0"/>
            </w:pPr>
            <w:r>
              <w:rPr>
                <w:rFonts w:ascii="Calibri" w:hAnsi="Calibri"/>
                <w:b w:val="0"/>
                <w:i w:val="0"/>
                <w:color w:val="14263D"/>
                <w:sz w:val="17"/>
              </w:rPr>
              <w:t>Portfolio and organisation oversight</w:t>
            </w:r>
          </w:p>
        </w:tc>
        <w:tc>
          <w:tcPr>
            <w:tcW w:type="dxa" w:w="4460"/>
            <w:shd w:fill="FFFFFF"/>
          </w:tcPr>
          <w:p>
            <w:pPr>
              <w:spacing w:after="0"/>
            </w:pPr>
            <w:r>
              <w:rPr>
                <w:rFonts w:ascii="Calibri" w:hAnsi="Calibri"/>
                <w:b w:val="0"/>
                <w:i w:val="0"/>
                <w:color w:val="14263D"/>
                <w:sz w:val="17"/>
              </w:rPr>
              <w:t>Create organisations and projects, maintain account structure, observe project health</w:t>
            </w:r>
          </w:p>
        </w:tc>
      </w:tr>
      <w:tr>
        <w:tc>
          <w:tcPr>
            <w:tcW w:type="dxa" w:w="1900"/>
            <w:shd w:fill="F4F7FA"/>
          </w:tcPr>
          <w:p>
            <w:pPr>
              <w:spacing w:after="0"/>
            </w:pPr>
            <w:r>
              <w:rPr>
                <w:rFonts w:ascii="Calibri" w:hAnsi="Calibri"/>
                <w:b/>
                <w:i w:val="0"/>
                <w:color w:val="082345"/>
                <w:sz w:val="17"/>
              </w:rPr>
              <w:t>Project administrator / manager</w:t>
            </w:r>
          </w:p>
        </w:tc>
        <w:tc>
          <w:tcPr>
            <w:tcW w:type="dxa" w:w="3000"/>
            <w:shd w:fill="F4F7FA"/>
          </w:tcPr>
          <w:p>
            <w:pPr>
              <w:spacing w:after="0"/>
            </w:pPr>
            <w:r>
              <w:rPr>
                <w:rFonts w:ascii="Calibri" w:hAnsi="Calibri"/>
                <w:b w:val="0"/>
                <w:i w:val="0"/>
                <w:color w:val="14263D"/>
                <w:sz w:val="17"/>
              </w:rPr>
              <w:t>Project overview, health, resources and reports</w:t>
            </w:r>
          </w:p>
        </w:tc>
        <w:tc>
          <w:tcPr>
            <w:tcW w:type="dxa" w:w="4460"/>
            <w:shd w:fill="F4F7FA"/>
          </w:tcPr>
          <w:p>
            <w:pPr>
              <w:spacing w:after="0"/>
            </w:pPr>
            <w:r>
              <w:rPr>
                <w:rFonts w:ascii="Calibri" w:hAnsi="Calibri"/>
                <w:b w:val="0"/>
                <w:i w:val="0"/>
                <w:color w:val="14263D"/>
                <w:sz w:val="17"/>
              </w:rPr>
              <w:t>Set project brief and objectives, invite the DCC and project resources, manage schedule</w:t>
            </w:r>
          </w:p>
        </w:tc>
      </w:tr>
      <w:tr>
        <w:tc>
          <w:tcPr>
            <w:tcW w:type="dxa" w:w="1900"/>
            <w:shd w:fill="FFFFFF"/>
          </w:tcPr>
          <w:p>
            <w:pPr>
              <w:spacing w:after="0"/>
            </w:pPr>
            <w:r>
              <w:rPr>
                <w:rFonts w:ascii="Calibri" w:hAnsi="Calibri"/>
                <w:b/>
                <w:i w:val="0"/>
                <w:color w:val="082345"/>
                <w:sz w:val="17"/>
              </w:rPr>
              <w:t>Document controller</w:t>
            </w:r>
          </w:p>
        </w:tc>
        <w:tc>
          <w:tcPr>
            <w:tcW w:type="dxa" w:w="3000"/>
            <w:shd w:fill="FFFFFF"/>
          </w:tcPr>
          <w:p>
            <w:pPr>
              <w:spacing w:after="0"/>
            </w:pPr>
            <w:r>
              <w:rPr>
                <w:rFonts w:ascii="Calibri" w:hAnsi="Calibri"/>
                <w:b w:val="0"/>
                <w:i w:val="0"/>
                <w:color w:val="14263D"/>
                <w:sz w:val="17"/>
              </w:rPr>
              <w:t>DCC control centre, MDR, reviews and transmissions</w:t>
            </w:r>
          </w:p>
        </w:tc>
        <w:tc>
          <w:tcPr>
            <w:tcW w:type="dxa" w:w="4460"/>
            <w:shd w:fill="FFFFFF"/>
          </w:tcPr>
          <w:p>
            <w:pPr>
              <w:spacing w:after="0"/>
            </w:pPr>
            <w:r>
              <w:rPr>
                <w:rFonts w:ascii="Calibri" w:hAnsi="Calibri"/>
                <w:b w:val="0"/>
                <w:i w:val="0"/>
                <w:color w:val="14263D"/>
                <w:sz w:val="17"/>
              </w:rPr>
              <w:t>Populate the MDR, assign disciplines, accept submissions and issue controlled records</w:t>
            </w:r>
          </w:p>
        </w:tc>
      </w:tr>
      <w:tr>
        <w:tc>
          <w:tcPr>
            <w:tcW w:type="dxa" w:w="1900"/>
            <w:shd w:fill="F4F7FA"/>
          </w:tcPr>
          <w:p>
            <w:pPr>
              <w:spacing w:after="0"/>
            </w:pPr>
            <w:r>
              <w:rPr>
                <w:rFonts w:ascii="Calibri" w:hAnsi="Calibri"/>
                <w:b/>
                <w:i w:val="0"/>
                <w:color w:val="082345"/>
                <w:sz w:val="17"/>
              </w:rPr>
              <w:t>Discipline engineer</w:t>
            </w:r>
          </w:p>
        </w:tc>
        <w:tc>
          <w:tcPr>
            <w:tcW w:type="dxa" w:w="3000"/>
            <w:shd w:fill="F4F7FA"/>
          </w:tcPr>
          <w:p>
            <w:pPr>
              <w:spacing w:after="0"/>
            </w:pPr>
            <w:r>
              <w:rPr>
                <w:rFonts w:ascii="Calibri" w:hAnsi="Calibri"/>
                <w:b w:val="0"/>
                <w:i w:val="0"/>
                <w:color w:val="14263D"/>
                <w:sz w:val="17"/>
              </w:rPr>
              <w:t>My deliverables</w:t>
            </w:r>
          </w:p>
        </w:tc>
        <w:tc>
          <w:tcPr>
            <w:tcW w:type="dxa" w:w="4460"/>
            <w:shd w:fill="F4F7FA"/>
          </w:tcPr>
          <w:p>
            <w:pPr>
              <w:spacing w:after="0"/>
            </w:pPr>
            <w:r>
              <w:rPr>
                <w:rFonts w:ascii="Calibri" w:hAnsi="Calibri"/>
                <w:b w:val="0"/>
                <w:i w:val="0"/>
                <w:color w:val="14263D"/>
                <w:sz w:val="17"/>
              </w:rPr>
              <w:t>See assigned documents and dates, upload revisions only for authorised disciplines</w:t>
            </w:r>
          </w:p>
        </w:tc>
      </w:tr>
      <w:tr>
        <w:tc>
          <w:tcPr>
            <w:tcW w:type="dxa" w:w="1900"/>
            <w:shd w:fill="FFFFFF"/>
          </w:tcPr>
          <w:p>
            <w:pPr>
              <w:spacing w:after="0"/>
            </w:pPr>
            <w:r>
              <w:rPr>
                <w:rFonts w:ascii="Calibri" w:hAnsi="Calibri"/>
                <w:b/>
                <w:i w:val="0"/>
                <w:color w:val="082345"/>
                <w:sz w:val="17"/>
              </w:rPr>
              <w:t>Viewer / stakeholder</w:t>
            </w:r>
          </w:p>
        </w:tc>
        <w:tc>
          <w:tcPr>
            <w:tcW w:type="dxa" w:w="3000"/>
            <w:shd w:fill="FFFFFF"/>
          </w:tcPr>
          <w:p>
            <w:pPr>
              <w:spacing w:after="0"/>
            </w:pPr>
            <w:r>
              <w:rPr>
                <w:rFonts w:ascii="Calibri" w:hAnsi="Calibri"/>
                <w:b w:val="0"/>
                <w:i w:val="0"/>
                <w:color w:val="14263D"/>
                <w:sz w:val="17"/>
              </w:rPr>
              <w:t>Authorised project documents</w:t>
            </w:r>
          </w:p>
        </w:tc>
        <w:tc>
          <w:tcPr>
            <w:tcW w:type="dxa" w:w="4460"/>
            <w:shd w:fill="FFFFFF"/>
          </w:tcPr>
          <w:p>
            <w:pPr>
              <w:spacing w:after="0"/>
            </w:pPr>
            <w:r>
              <w:rPr>
                <w:rFonts w:ascii="Calibri" w:hAnsi="Calibri"/>
                <w:b w:val="0"/>
                <w:i w:val="0"/>
                <w:color w:val="14263D"/>
                <w:sz w:val="17"/>
              </w:rPr>
              <w:t>Read, search, preview, compare and download according to policy</w:t>
            </w:r>
          </w:p>
        </w:tc>
      </w:tr>
    </w:tbl>
    <w:p>
      <w:pPr>
        <w:spacing w:after="80"/>
      </w:pP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9360"/>
      </w:tblGrid>
      <w:tr>
        <w:tc>
          <w:tcPr>
            <w:tcW w:type="dxa" w:w="9360"/>
            <w:tcMar>
              <w:top w:w="220" w:type="dxa"/>
              <w:start w:w="260" w:type="dxa"/>
              <w:bottom w:w="220" w:type="dxa"/>
              <w:end w:w="260" w:type="dxa"/>
            </w:tcMar>
            <w:shd w:fill="082345"/>
          </w:tcPr>
          <w:p>
            <w:pPr>
              <w:spacing w:after="100"/>
            </w:pPr>
            <w:r>
              <w:rPr>
                <w:rFonts w:ascii="Calibri" w:hAnsi="Calibri"/>
                <w:b/>
                <w:i w:val="0"/>
                <w:color w:val="ED7138"/>
                <w:sz w:val="18"/>
              </w:rPr>
              <w:t>WORKFLOW IN ONE LINE</w:t>
            </w:r>
          </w:p>
          <w:p>
            <w:pPr>
              <w:spacing w:after="0" w:line="283" w:lineRule="auto"/>
            </w:pPr>
            <w:r>
              <w:rPr>
                <w:rFonts w:ascii="Calibri" w:hAnsi="Calibri"/>
                <w:b/>
                <w:i w:val="0"/>
                <w:color w:val="FFFFFF"/>
                <w:sz w:val="26"/>
              </w:rPr>
              <w:t>ADMIN SETS THE PROJECT  &gt;  DCC BUILDS THE MDR  &gt;  ENGINEERS SUBMIT  &gt;  DCC ACCEPTS  &gt;  MANAGEMENT TRACKS  &gt;  CLIENT RECEIVES A CONTROLLED ISSUE</w:t>
            </w:r>
          </w:p>
        </w:tc>
      </w:tr>
    </w:tbl>
    <w:p>
      <w:pPr>
        <w:spacing w:after="0"/>
      </w:pPr>
      <w:r>
        <w:rPr>
          <w:rFonts w:ascii="Calibri" w:hAnsi="Calibri"/>
          <w:b w:val="0"/>
          <w:i w:val="0"/>
          <w:color w:val="14263D"/>
          <w:sz w:val="22"/>
        </w:rPr>
        <w:t>This operating model is a central differentiator: it makes the software feel simple to each user while preserving strong controls underneath.</w:t>
      </w:r>
    </w:p>
    <w:p>
      <w:r>
        <w:br w:type="page"/>
      </w:r>
    </w:p>
    <w:p>
      <w:pPr>
        <w:pStyle w:val="Kicker"/>
      </w:pPr>
      <w:r>
        <w:t>PUBLIC PRODUCT EXPERIENCE</w:t>
      </w:r>
    </w:p>
    <w:p>
      <w:pPr>
        <w:keepNext/>
        <w:spacing w:before="0" w:after="120"/>
        <w:jc w:val="left"/>
      </w:pPr>
      <w:r>
        <w:rPr>
          <w:rFonts w:ascii="Calibri" w:hAnsi="Calibri"/>
          <w:b/>
          <w:i w:val="0"/>
          <w:color w:val="082345"/>
          <w:sz w:val="42"/>
        </w:rPr>
        <w:t>A precise promise before the buyer signs in</w:t>
      </w:r>
    </w:p>
    <w:p>
      <w:pPr>
        <w:spacing w:after="160" w:line="293" w:lineRule="auto"/>
        <w:jc w:val="left"/>
      </w:pPr>
      <w:r>
        <w:rPr>
          <w:rFonts w:ascii="Calibri" w:hAnsi="Calibri"/>
          <w:b w:val="0"/>
          <w:i w:val="0"/>
          <w:color w:val="5E6B7A"/>
          <w:sz w:val="23"/>
        </w:rPr>
        <w:t>The landing page positions EngiCite around controlled delivery and evidence, with a direct path to the secure workspace and a visual demonstration of citation-backed answers.</w:t>
      </w:r>
    </w:p>
    <w:p>
      <w:pPr>
        <w:spacing w:before="40" w:after="0"/>
        <w:jc w:val="center"/>
      </w:pPr>
      <w:r>
        <w:drawing>
          <wp:inline xmlns:a="http://schemas.openxmlformats.org/drawingml/2006/main" xmlns:pic="http://schemas.openxmlformats.org/drawingml/2006/picture">
            <wp:extent cx="5943600" cy="4643438"/>
            <wp:docPr id="2" name="Picture 2" descr="EngiCite interface showing public landing page and product promise."/>
            <wp:cNvGraphicFramePr>
              <a:graphicFrameLocks noChangeAspect="1"/>
            </wp:cNvGraphicFramePr>
            <a:graphic>
              <a:graphicData uri="http://schemas.openxmlformats.org/drawingml/2006/picture">
                <pic:pic>
                  <pic:nvPicPr>
                    <pic:cNvPr id="0" name="00-landing-page.png"/>
                    <pic:cNvPicPr/>
                  </pic:nvPicPr>
                  <pic:blipFill>
                    <a:blip r:embed="rId13"/>
                    <a:stretch>
                      <a:fillRect/>
                    </a:stretch>
                  </pic:blipFill>
                  <pic:spPr>
                    <a:xfrm>
                      <a:off x="0" y="0"/>
                      <a:ext cx="5943600" cy="4643438"/>
                    </a:xfrm>
                    <a:prstGeom prst="rect"/>
                  </pic:spPr>
                </pic:pic>
              </a:graphicData>
            </a:graphic>
          </wp:inline>
        </w:drawing>
      </w:r>
    </w:p>
    <w:p>
      <w:pPr>
        <w:pStyle w:val="FigureCaption"/>
        <w:jc w:val="center"/>
      </w:pPr>
      <w:r>
        <w:t>Figure 1. Public landing page and product promise. Live development interface captured 13 August 2026.</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480"/>
        <w:gridCol w:w="8880"/>
      </w:tblGrid>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Buyer clarity. </w:t>
            </w:r>
            <w:r>
              <w:rPr>
                <w:rFonts w:ascii="Calibri" w:hAnsi="Calibri"/>
                <w:b w:val="0"/>
                <w:i w:val="0"/>
                <w:color w:val="14263D"/>
                <w:sz w:val="18"/>
              </w:rPr>
              <w:t>The headline communicates the two outcomes immediately: deliverable control and defensible decisions.</w:t>
            </w:r>
          </w:p>
        </w:tc>
      </w:tr>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Product proof. </w:t>
            </w:r>
            <w:r>
              <w:rPr>
                <w:rFonts w:ascii="Calibri" w:hAnsi="Calibri"/>
                <w:b w:val="0"/>
                <w:i w:val="0"/>
                <w:color w:val="14263D"/>
                <w:sz w:val="18"/>
              </w:rPr>
              <w:t>The interface mock demonstrates cited answers, register health and controlled documents without requiring a live login.</w:t>
            </w:r>
          </w:p>
        </w:tc>
      </w:tr>
    </w:tbl>
    <w:p>
      <w:pPr>
        <w:spacing w:after="0"/>
      </w:pPr>
    </w:p>
    <w:p>
      <w:r>
        <w:br w:type="page"/>
      </w:r>
    </w:p>
    <w:p>
      <w:pPr>
        <w:pStyle w:val="Kicker"/>
      </w:pPr>
      <w:r>
        <w:t>MULTI-TENANT WORKSPACE</w:t>
      </w:r>
    </w:p>
    <w:p>
      <w:pPr>
        <w:keepNext/>
        <w:spacing w:before="0" w:after="120"/>
        <w:jc w:val="left"/>
      </w:pPr>
      <w:r>
        <w:rPr>
          <w:rFonts w:ascii="Calibri" w:hAnsi="Calibri"/>
          <w:b/>
          <w:i w:val="0"/>
          <w:color w:val="082345"/>
          <w:sz w:val="42"/>
        </w:rPr>
        <w:t>Secure organisation separation</w:t>
      </w:r>
    </w:p>
    <w:p>
      <w:pPr>
        <w:spacing w:after="160" w:line="293" w:lineRule="auto"/>
        <w:jc w:val="left"/>
      </w:pPr>
      <w:r>
        <w:rPr>
          <w:rFonts w:ascii="Calibri" w:hAnsi="Calibri"/>
          <w:b w:val="0"/>
          <w:i w:val="0"/>
          <w:color w:val="5E6B7A"/>
          <w:sz w:val="23"/>
        </w:rPr>
        <w:t>Users enter only the organisations and projects assigned to them. This creates a clean commercial story for contractors, owner teams and service companies managing multiple clients.</w:t>
      </w:r>
    </w:p>
    <w:p>
      <w:pPr>
        <w:spacing w:before="40" w:after="0"/>
        <w:jc w:val="center"/>
      </w:pPr>
      <w:r>
        <w:drawing>
          <wp:inline xmlns:a="http://schemas.openxmlformats.org/drawingml/2006/main" xmlns:pic="http://schemas.openxmlformats.org/drawingml/2006/picture">
            <wp:extent cx="5943600" cy="4313238"/>
            <wp:docPr id="3" name="Picture 3" descr="EngiCite interface showing authorised organisation workspace."/>
            <wp:cNvGraphicFramePr>
              <a:graphicFrameLocks noChangeAspect="1"/>
            </wp:cNvGraphicFramePr>
            <a:graphic>
              <a:graphicData uri="http://schemas.openxmlformats.org/drawingml/2006/picture">
                <pic:pic>
                  <pic:nvPicPr>
                    <pic:cNvPr id="0" name="02-organisation-workspace.png"/>
                    <pic:cNvPicPr/>
                  </pic:nvPicPr>
                  <pic:blipFill>
                    <a:blip r:embed="rId14"/>
                    <a:stretch>
                      <a:fillRect/>
                    </a:stretch>
                  </pic:blipFill>
                  <pic:spPr>
                    <a:xfrm>
                      <a:off x="0" y="0"/>
                      <a:ext cx="5943600" cy="4313238"/>
                    </a:xfrm>
                    <a:prstGeom prst="rect"/>
                  </pic:spPr>
                </pic:pic>
              </a:graphicData>
            </a:graphic>
          </wp:inline>
        </w:drawing>
      </w:r>
    </w:p>
    <w:p>
      <w:pPr>
        <w:pStyle w:val="FigureCaption"/>
        <w:jc w:val="center"/>
      </w:pPr>
      <w:r>
        <w:t>Figure 2. Authorised organisation workspace. Live development interface captured 13 August 2026.</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480"/>
        <w:gridCol w:w="8880"/>
      </w:tblGrid>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Tenant awareness. </w:t>
            </w:r>
            <w:r>
              <w:rPr>
                <w:rFonts w:ascii="Calibri" w:hAnsi="Calibri"/>
                <w:b w:val="0"/>
                <w:i w:val="0"/>
                <w:color w:val="14263D"/>
                <w:sz w:val="18"/>
              </w:rPr>
              <w:t>Organisation boundaries are explicit in the interface, not hidden inside a shared folder tree.</w:t>
            </w:r>
          </w:p>
        </w:tc>
      </w:tr>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Simple navigation. </w:t>
            </w:r>
            <w:r>
              <w:rPr>
                <w:rFonts w:ascii="Calibri" w:hAnsi="Calibri"/>
                <w:b w:val="0"/>
                <w:i w:val="0"/>
                <w:color w:val="14263D"/>
                <w:sz w:val="18"/>
              </w:rPr>
              <w:t>A user starts from authorised work instead of searching across the whole platform.</w:t>
            </w:r>
          </w:p>
        </w:tc>
      </w:tr>
    </w:tbl>
    <w:p>
      <w:pPr>
        <w:spacing w:after="0"/>
      </w:pPr>
    </w:p>
    <w:p>
      <w:r>
        <w:br w:type="page"/>
      </w:r>
    </w:p>
    <w:p>
      <w:pPr>
        <w:pStyle w:val="Kicker"/>
      </w:pPr>
      <w:r>
        <w:t>DOCUMENT CONTROLLER EXPERIENCE</w:t>
      </w:r>
    </w:p>
    <w:p>
      <w:pPr>
        <w:keepNext/>
        <w:spacing w:before="0" w:after="120"/>
        <w:jc w:val="left"/>
      </w:pPr>
      <w:r>
        <w:rPr>
          <w:rFonts w:ascii="Calibri" w:hAnsi="Calibri"/>
          <w:b/>
          <w:i w:val="0"/>
          <w:color w:val="082345"/>
          <w:sz w:val="42"/>
        </w:rPr>
        <w:t>A DCC control centre built around daily priorities</w:t>
      </w:r>
    </w:p>
    <w:p>
      <w:pPr>
        <w:spacing w:after="160" w:line="293" w:lineRule="auto"/>
        <w:jc w:val="left"/>
      </w:pPr>
      <w:r>
        <w:rPr>
          <w:rFonts w:ascii="Calibri" w:hAnsi="Calibri"/>
          <w:b w:val="0"/>
          <w:i w:val="0"/>
          <w:color w:val="5E6B7A"/>
          <w:sz w:val="23"/>
        </w:rPr>
        <w:t>The home view gives the document controller a project-specific operating picture: total MDR deliverables, items awaiting review, unsubmitted work, overdue submissions and discipline resources.</w:t>
      </w:r>
    </w:p>
    <w:p>
      <w:pPr>
        <w:spacing w:before="40" w:after="0"/>
        <w:jc w:val="center"/>
      </w:pPr>
      <w:r>
        <w:drawing>
          <wp:inline xmlns:a="http://schemas.openxmlformats.org/drawingml/2006/main" xmlns:pic="http://schemas.openxmlformats.org/drawingml/2006/picture">
            <wp:extent cx="5943600" cy="4313238"/>
            <wp:docPr id="4" name="Picture 4" descr="EngiCite interface showing document control centre with project-level operating metrics."/>
            <wp:cNvGraphicFramePr>
              <a:graphicFrameLocks noChangeAspect="1"/>
            </wp:cNvGraphicFramePr>
            <a:graphic>
              <a:graphicData uri="http://schemas.openxmlformats.org/drawingml/2006/picture">
                <pic:pic>
                  <pic:nvPicPr>
                    <pic:cNvPr id="0" name="04-dcc-control-centre.png"/>
                    <pic:cNvPicPr/>
                  </pic:nvPicPr>
                  <pic:blipFill>
                    <a:blip r:embed="rId15"/>
                    <a:stretch>
                      <a:fillRect/>
                    </a:stretch>
                  </pic:blipFill>
                  <pic:spPr>
                    <a:xfrm>
                      <a:off x="0" y="0"/>
                      <a:ext cx="5943600" cy="4313238"/>
                    </a:xfrm>
                    <a:prstGeom prst="rect"/>
                  </pic:spPr>
                </pic:pic>
              </a:graphicData>
            </a:graphic>
          </wp:inline>
        </w:drawing>
      </w:r>
    </w:p>
    <w:p>
      <w:pPr>
        <w:pStyle w:val="FigureCaption"/>
        <w:jc w:val="center"/>
      </w:pPr>
      <w:r>
        <w:t>Figure 3. Document Control Centre with project-level operating metrics. Live development interface captured 13 August 2026.</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480"/>
        <w:gridCol w:w="8880"/>
      </w:tblGrid>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Action before administration. </w:t>
            </w:r>
            <w:r>
              <w:rPr>
                <w:rFonts w:ascii="Calibri" w:hAnsi="Calibri"/>
                <w:b w:val="0"/>
                <w:i w:val="0"/>
                <w:color w:val="14263D"/>
                <w:sz w:val="18"/>
              </w:rPr>
              <w:t>Invite an engineer, transmit documents or open the MDR from the first screen.</w:t>
            </w:r>
          </w:p>
        </w:tc>
      </w:tr>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Exception-led work. </w:t>
            </w:r>
            <w:r>
              <w:rPr>
                <w:rFonts w:ascii="Calibri" w:hAnsi="Calibri"/>
                <w:b w:val="0"/>
                <w:i w:val="0"/>
                <w:color w:val="14263D"/>
                <w:sz w:val="18"/>
              </w:rPr>
              <w:t>The DCC sees overdue and unsubmitted work instead of manually reconciling spreadsheets.</w:t>
            </w:r>
          </w:p>
        </w:tc>
      </w:tr>
    </w:tbl>
    <w:p>
      <w:pPr>
        <w:spacing w:after="0"/>
      </w:pPr>
    </w:p>
    <w:p>
      <w:r>
        <w:br w:type="page"/>
      </w:r>
    </w:p>
    <w:p>
      <w:pPr>
        <w:pStyle w:val="Kicker"/>
      </w:pPr>
      <w:r>
        <w:t>MASTER DOCUMENT REGISTER</w:t>
      </w:r>
    </w:p>
    <w:p>
      <w:pPr>
        <w:keepNext/>
        <w:spacing w:before="0" w:after="120"/>
        <w:jc w:val="left"/>
      </w:pPr>
      <w:r>
        <w:rPr>
          <w:rFonts w:ascii="Calibri" w:hAnsi="Calibri"/>
          <w:b/>
          <w:i w:val="0"/>
          <w:color w:val="082345"/>
          <w:sz w:val="42"/>
        </w:rPr>
        <w:t>The MDR becomes a live project control surface</w:t>
      </w:r>
    </w:p>
    <w:p>
      <w:pPr>
        <w:spacing w:after="160" w:line="293" w:lineRule="auto"/>
        <w:jc w:val="left"/>
      </w:pPr>
      <w:r>
        <w:rPr>
          <w:rFonts w:ascii="Calibri" w:hAnsi="Calibri"/>
          <w:b w:val="0"/>
          <w:i w:val="0"/>
          <w:color w:val="5E6B7A"/>
          <w:sz w:val="23"/>
        </w:rPr>
        <w:t>Documents are organised by discipline and can be filtered, searched, registered individually or imported from Excel. The register communicates ownership, type, due date and status in one view.</w:t>
      </w:r>
    </w:p>
    <w:p>
      <w:pPr>
        <w:spacing w:before="40" w:after="0"/>
        <w:jc w:val="center"/>
      </w:pPr>
      <w:r>
        <w:drawing>
          <wp:inline xmlns:a="http://schemas.openxmlformats.org/drawingml/2006/main" xmlns:pic="http://schemas.openxmlformats.org/drawingml/2006/picture">
            <wp:extent cx="5943600" cy="4313238"/>
            <wp:docPr id="5" name="Picture 5" descr="EngiCite interface showing discipline-grouped master document register."/>
            <wp:cNvGraphicFramePr>
              <a:graphicFrameLocks noChangeAspect="1"/>
            </wp:cNvGraphicFramePr>
            <a:graphic>
              <a:graphicData uri="http://schemas.openxmlformats.org/drawingml/2006/picture">
                <pic:pic>
                  <pic:nvPicPr>
                    <pic:cNvPr id="0" name="01-master-document-register.png"/>
                    <pic:cNvPicPr/>
                  </pic:nvPicPr>
                  <pic:blipFill>
                    <a:blip r:embed="rId16"/>
                    <a:stretch>
                      <a:fillRect/>
                    </a:stretch>
                  </pic:blipFill>
                  <pic:spPr>
                    <a:xfrm>
                      <a:off x="0" y="0"/>
                      <a:ext cx="5943600" cy="4313238"/>
                    </a:xfrm>
                    <a:prstGeom prst="rect"/>
                  </pic:spPr>
                </pic:pic>
              </a:graphicData>
            </a:graphic>
          </wp:inline>
        </w:drawing>
      </w:r>
    </w:p>
    <w:p>
      <w:pPr>
        <w:pStyle w:val="FigureCaption"/>
        <w:jc w:val="center"/>
      </w:pPr>
      <w:r>
        <w:t>Figure 4. Discipline-grouped Master Document Register. Live development interface captured 13 August 2026.</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480"/>
        <w:gridCol w:w="8880"/>
      </w:tblGrid>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Fast mobilisation. </w:t>
            </w:r>
            <w:r>
              <w:rPr>
                <w:rFonts w:ascii="Calibri" w:hAnsi="Calibri"/>
                <w:b w:val="0"/>
                <w:i w:val="0"/>
                <w:color w:val="14263D"/>
                <w:sz w:val="18"/>
              </w:rPr>
              <w:t>Import an existing MDR rather than recreating hundreds of deliverables manually.</w:t>
            </w:r>
          </w:p>
        </w:tc>
      </w:tr>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Flexible organisation. </w:t>
            </w:r>
            <w:r>
              <w:rPr>
                <w:rFonts w:ascii="Calibri" w:hAnsi="Calibri"/>
                <w:b w:val="0"/>
                <w:i w:val="0"/>
                <w:color w:val="14263D"/>
                <w:sz w:val="18"/>
              </w:rPr>
              <w:t>Switch between a flat register, discipline groups and discipline-specific filters.</w:t>
            </w:r>
          </w:p>
        </w:tc>
      </w:tr>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Governed creation. </w:t>
            </w:r>
            <w:r>
              <w:rPr>
                <w:rFonts w:ascii="Calibri" w:hAnsi="Calibri"/>
                <w:b w:val="0"/>
                <w:i w:val="0"/>
                <w:color w:val="14263D"/>
                <w:sz w:val="18"/>
              </w:rPr>
              <w:t>Document registration remains a DCC-controlled responsibility.</w:t>
            </w:r>
          </w:p>
        </w:tc>
      </w:tr>
    </w:tbl>
    <w:p>
      <w:pPr>
        <w:spacing w:after="0"/>
      </w:pPr>
    </w:p>
    <w:p>
      <w:r>
        <w:br w:type="page"/>
      </w:r>
    </w:p>
    <w:p>
      <w:pPr>
        <w:pStyle w:val="Kicker"/>
      </w:pPr>
      <w:r>
        <w:t>TEAM AND DISCIPLINE GOVERNANCE</w:t>
      </w:r>
    </w:p>
    <w:p>
      <w:pPr>
        <w:keepNext/>
        <w:spacing w:before="0" w:after="120"/>
        <w:jc w:val="left"/>
      </w:pPr>
      <w:r>
        <w:rPr>
          <w:rFonts w:ascii="Calibri" w:hAnsi="Calibri"/>
          <w:b/>
          <w:i w:val="0"/>
          <w:color w:val="082345"/>
          <w:sz w:val="42"/>
        </w:rPr>
        <w:t>Invite engineers by discipline, not by individual document</w:t>
      </w:r>
    </w:p>
    <w:p>
      <w:pPr>
        <w:spacing w:after="160" w:line="293" w:lineRule="auto"/>
        <w:jc w:val="left"/>
      </w:pPr>
      <w:r>
        <w:rPr>
          <w:rFonts w:ascii="Calibri" w:hAnsi="Calibri"/>
          <w:b w:val="0"/>
          <w:i w:val="0"/>
          <w:color w:val="5E6B7A"/>
          <w:sz w:val="23"/>
        </w:rPr>
        <w:t>The team workspace supports project invitations, pending invitation visibility, resend or deletion controls and discipline assignments that prevent engineers from uploading against another discipline's deliverables.</w:t>
      </w:r>
    </w:p>
    <w:p>
      <w:pPr>
        <w:spacing w:before="40" w:after="0"/>
        <w:jc w:val="center"/>
      </w:pPr>
      <w:r>
        <w:drawing>
          <wp:inline xmlns:a="http://schemas.openxmlformats.org/drawingml/2006/main" xmlns:pic="http://schemas.openxmlformats.org/drawingml/2006/picture">
            <wp:extent cx="5943600" cy="4313238"/>
            <wp:docPr id="6" name="Picture 6" descr="EngiCite interface showing project team and discipline resource controls."/>
            <wp:cNvGraphicFramePr>
              <a:graphicFrameLocks noChangeAspect="1"/>
            </wp:cNvGraphicFramePr>
            <a:graphic>
              <a:graphicData uri="http://schemas.openxmlformats.org/drawingml/2006/picture">
                <pic:pic>
                  <pic:nvPicPr>
                    <pic:cNvPr id="0" name="06-team-resources.png"/>
                    <pic:cNvPicPr/>
                  </pic:nvPicPr>
                  <pic:blipFill>
                    <a:blip r:embed="rId17"/>
                    <a:stretch>
                      <a:fillRect/>
                    </a:stretch>
                  </pic:blipFill>
                  <pic:spPr>
                    <a:xfrm>
                      <a:off x="0" y="0"/>
                      <a:ext cx="5943600" cy="4313238"/>
                    </a:xfrm>
                    <a:prstGeom prst="rect"/>
                  </pic:spPr>
                </pic:pic>
              </a:graphicData>
            </a:graphic>
          </wp:inline>
        </w:drawing>
      </w:r>
    </w:p>
    <w:p>
      <w:pPr>
        <w:pStyle w:val="FigureCaption"/>
        <w:jc w:val="center"/>
      </w:pPr>
      <w:r>
        <w:t>Figure 5. Project team and discipline resource controls. Live development interface captured 13 August 2026.</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480"/>
        <w:gridCol w:w="8880"/>
      </w:tblGrid>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Scalable assignment. </w:t>
            </w:r>
            <w:r>
              <w:rPr>
                <w:rFonts w:ascii="Calibri" w:hAnsi="Calibri"/>
                <w:b w:val="0"/>
                <w:i w:val="0"/>
                <w:color w:val="14263D"/>
                <w:sz w:val="18"/>
              </w:rPr>
              <w:t>One discipline invitation can govern a portfolio of planned deliverables.</w:t>
            </w:r>
          </w:p>
        </w:tc>
      </w:tr>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Clear onboarding. </w:t>
            </w:r>
            <w:r>
              <w:rPr>
                <w:rFonts w:ascii="Calibri" w:hAnsi="Calibri"/>
                <w:b w:val="0"/>
                <w:i w:val="0"/>
                <w:color w:val="14263D"/>
                <w:sz w:val="18"/>
              </w:rPr>
              <w:t>Pending invitations remain visible until accepted and can be resent or cancelled.</w:t>
            </w:r>
          </w:p>
        </w:tc>
      </w:tr>
    </w:tbl>
    <w:p>
      <w:pPr>
        <w:spacing w:after="0"/>
      </w:pPr>
    </w:p>
    <w:p>
      <w:r>
        <w:br w:type="page"/>
      </w:r>
    </w:p>
    <w:p>
      <w:pPr>
        <w:pStyle w:val="Kicker"/>
      </w:pPr>
      <w:r>
        <w:t>REVISION RECORD</w:t>
      </w:r>
    </w:p>
    <w:p>
      <w:pPr>
        <w:keepNext/>
        <w:spacing w:before="0" w:after="120"/>
        <w:jc w:val="left"/>
      </w:pPr>
      <w:r>
        <w:rPr>
          <w:rFonts w:ascii="Calibri" w:hAnsi="Calibri"/>
          <w:b/>
          <w:i w:val="0"/>
          <w:color w:val="082345"/>
          <w:sz w:val="42"/>
        </w:rPr>
        <w:t>Every logical document keeps its full history</w:t>
      </w:r>
    </w:p>
    <w:p>
      <w:pPr>
        <w:spacing w:after="160" w:line="293" w:lineRule="auto"/>
        <w:jc w:val="left"/>
      </w:pPr>
      <w:r>
        <w:rPr>
          <w:rFonts w:ascii="Calibri" w:hAnsi="Calibri"/>
          <w:b w:val="0"/>
          <w:i w:val="0"/>
          <w:color w:val="5E6B7A"/>
          <w:sz w:val="23"/>
        </w:rPr>
        <w:t>Each MDR entry links to a document-specific record containing metadata, revision history, issue status, file state and secure preview actions.</w:t>
      </w:r>
    </w:p>
    <w:p>
      <w:pPr>
        <w:spacing w:before="40" w:after="0"/>
        <w:jc w:val="center"/>
      </w:pPr>
      <w:r>
        <w:drawing>
          <wp:inline xmlns:a="http://schemas.openxmlformats.org/drawingml/2006/main" xmlns:pic="http://schemas.openxmlformats.org/drawingml/2006/picture">
            <wp:extent cx="5943600" cy="4313238"/>
            <wp:docPr id="7" name="Picture 7" descr="EngiCite interface showing document detail and revision history."/>
            <wp:cNvGraphicFramePr>
              <a:graphicFrameLocks noChangeAspect="1"/>
            </wp:cNvGraphicFramePr>
            <a:graphic>
              <a:graphicData uri="http://schemas.openxmlformats.org/drawingml/2006/picture">
                <pic:pic>
                  <pic:nvPicPr>
                    <pic:cNvPr id="0" name="15-document-revision-history.png"/>
                    <pic:cNvPicPr/>
                  </pic:nvPicPr>
                  <pic:blipFill>
                    <a:blip r:embed="rId18"/>
                    <a:stretch>
                      <a:fillRect/>
                    </a:stretch>
                  </pic:blipFill>
                  <pic:spPr>
                    <a:xfrm>
                      <a:off x="0" y="0"/>
                      <a:ext cx="5943600" cy="4313238"/>
                    </a:xfrm>
                    <a:prstGeom prst="rect"/>
                  </pic:spPr>
                </pic:pic>
              </a:graphicData>
            </a:graphic>
          </wp:inline>
        </w:drawing>
      </w:r>
    </w:p>
    <w:p>
      <w:pPr>
        <w:pStyle w:val="FigureCaption"/>
        <w:jc w:val="center"/>
      </w:pPr>
      <w:r>
        <w:t>Figure 6. Document detail and revision history. Live development interface captured 13 August 2026.</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480"/>
        <w:gridCol w:w="8880"/>
      </w:tblGrid>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One record, many revisions. </w:t>
            </w:r>
            <w:r>
              <w:rPr>
                <w:rFonts w:ascii="Calibri" w:hAnsi="Calibri"/>
                <w:b w:val="0"/>
                <w:i w:val="0"/>
                <w:color w:val="14263D"/>
                <w:sz w:val="18"/>
              </w:rPr>
              <w:t>Teams avoid duplicate document entries while preserving immutable revision evidence.</w:t>
            </w:r>
          </w:p>
        </w:tc>
      </w:tr>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Secure access. </w:t>
            </w:r>
            <w:r>
              <w:rPr>
                <w:rFonts w:ascii="Calibri" w:hAnsi="Calibri"/>
                <w:b w:val="0"/>
                <w:i w:val="0"/>
                <w:color w:val="14263D"/>
                <w:sz w:val="18"/>
              </w:rPr>
              <w:t>Preview and download are mediated through authorised routes rather than permanent public links.</w:t>
            </w:r>
          </w:p>
        </w:tc>
      </w:tr>
    </w:tbl>
    <w:p>
      <w:pPr>
        <w:spacing w:after="0"/>
      </w:pPr>
    </w:p>
    <w:p>
      <w:r>
        <w:br w:type="page"/>
      </w:r>
    </w:p>
    <w:p>
      <w:pPr>
        <w:pStyle w:val="Kicker"/>
      </w:pPr>
      <w:r>
        <w:t>SUBMISSION QUALITY GATE</w:t>
      </w:r>
    </w:p>
    <w:p>
      <w:pPr>
        <w:keepNext/>
        <w:spacing w:before="0" w:after="120"/>
        <w:jc w:val="left"/>
      </w:pPr>
      <w:r>
        <w:rPr>
          <w:rFonts w:ascii="Calibri" w:hAnsi="Calibri"/>
          <w:b/>
          <w:i w:val="0"/>
          <w:color w:val="082345"/>
          <w:sz w:val="42"/>
        </w:rPr>
        <w:t>DCC previews before accepting a revision</w:t>
      </w:r>
    </w:p>
    <w:p>
      <w:pPr>
        <w:spacing w:after="160" w:line="293" w:lineRule="auto"/>
        <w:jc w:val="left"/>
      </w:pPr>
      <w:r>
        <w:rPr>
          <w:rFonts w:ascii="Calibri" w:hAnsi="Calibri"/>
          <w:b w:val="0"/>
          <w:i w:val="0"/>
          <w:color w:val="5E6B7A"/>
          <w:sz w:val="23"/>
        </w:rPr>
        <w:t>Engineer submissions enter a controlled review queue. The document controller verifies document identity, revision, issue status and file conformity before accepting the revision into the controlled record or returning it with instructions.</w:t>
      </w:r>
    </w:p>
    <w:p>
      <w:pPr>
        <w:spacing w:before="40" w:after="0"/>
        <w:jc w:val="center"/>
      </w:pPr>
      <w:r>
        <w:drawing>
          <wp:inline xmlns:a="http://schemas.openxmlformats.org/drawingml/2006/main" xmlns:pic="http://schemas.openxmlformats.org/drawingml/2006/picture">
            <wp:extent cx="5943600" cy="4313238"/>
            <wp:docPr id="8" name="Picture 8" descr="EngiCite interface showing dcc submission review queue."/>
            <wp:cNvGraphicFramePr>
              <a:graphicFrameLocks noChangeAspect="1"/>
            </wp:cNvGraphicFramePr>
            <a:graphic>
              <a:graphicData uri="http://schemas.openxmlformats.org/drawingml/2006/picture">
                <pic:pic>
                  <pic:nvPicPr>
                    <pic:cNvPr id="0" name="05-submission-review.png"/>
                    <pic:cNvPicPr/>
                  </pic:nvPicPr>
                  <pic:blipFill>
                    <a:blip r:embed="rId19"/>
                    <a:stretch>
                      <a:fillRect/>
                    </a:stretch>
                  </pic:blipFill>
                  <pic:spPr>
                    <a:xfrm>
                      <a:off x="0" y="0"/>
                      <a:ext cx="5943600" cy="4313238"/>
                    </a:xfrm>
                    <a:prstGeom prst="rect"/>
                  </pic:spPr>
                </pic:pic>
              </a:graphicData>
            </a:graphic>
          </wp:inline>
        </w:drawing>
      </w:r>
    </w:p>
    <w:p>
      <w:pPr>
        <w:pStyle w:val="FigureCaption"/>
        <w:jc w:val="center"/>
      </w:pPr>
      <w:r>
        <w:t>Figure 7. DCC submission review queue. Live development interface captured 13 August 2026.</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480"/>
        <w:gridCol w:w="8880"/>
      </w:tblGrid>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Quality gate. </w:t>
            </w:r>
            <w:r>
              <w:rPr>
                <w:rFonts w:ascii="Calibri" w:hAnsi="Calibri"/>
                <w:b w:val="0"/>
                <w:i w:val="0"/>
                <w:color w:val="14263D"/>
                <w:sz w:val="18"/>
              </w:rPr>
              <w:t>An uploaded file is not automatically treated as a controlled project issue.</w:t>
            </w:r>
          </w:p>
        </w:tc>
      </w:tr>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Visible workload. </w:t>
            </w:r>
            <w:r>
              <w:rPr>
                <w:rFonts w:ascii="Calibri" w:hAnsi="Calibri"/>
                <w:b w:val="0"/>
                <w:i w:val="0"/>
                <w:color w:val="14263D"/>
                <w:sz w:val="18"/>
              </w:rPr>
              <w:t>The navigation count shows how many submissions require DCC action.</w:t>
            </w:r>
          </w:p>
        </w:tc>
      </w:tr>
    </w:tbl>
    <w:p>
      <w:pPr>
        <w:spacing w:after="0"/>
      </w:pPr>
    </w:p>
    <w:p>
      <w:r>
        <w:br w:type="page"/>
      </w:r>
    </w:p>
    <w:p>
      <w:pPr>
        <w:pStyle w:val="Kicker"/>
      </w:pPr>
      <w:r>
        <w:t>ACTIONABLE NOTIFICATION CENTRE</w:t>
      </w:r>
    </w:p>
    <w:p>
      <w:pPr>
        <w:keepNext/>
        <w:spacing w:before="0" w:after="120"/>
        <w:jc w:val="left"/>
      </w:pPr>
      <w:r>
        <w:rPr>
          <w:rFonts w:ascii="Calibri" w:hAnsi="Calibri"/>
          <w:b/>
          <w:i w:val="0"/>
          <w:color w:val="082345"/>
          <w:sz w:val="42"/>
        </w:rPr>
        <w:t>Messages explain what happened and where</w:t>
      </w:r>
    </w:p>
    <w:p>
      <w:pPr>
        <w:spacing w:after="160" w:line="293" w:lineRule="auto"/>
        <w:jc w:val="left"/>
      </w:pPr>
      <w:r>
        <w:rPr>
          <w:rFonts w:ascii="Calibri" w:hAnsi="Calibri"/>
          <w:b w:val="0"/>
          <w:i w:val="0"/>
          <w:color w:val="5E6B7A"/>
          <w:sz w:val="23"/>
        </w:rPr>
        <w:t>Notifications bring together submission, deadline, invitation and review activity. Messages can be opened in place, marked read and cleared without forcing the user into an unrelated page.</w:t>
      </w:r>
    </w:p>
    <w:p>
      <w:pPr>
        <w:spacing w:before="40" w:after="0"/>
        <w:jc w:val="center"/>
      </w:pPr>
      <w:r>
        <w:drawing>
          <wp:inline xmlns:a="http://schemas.openxmlformats.org/drawingml/2006/main" xmlns:pic="http://schemas.openxmlformats.org/drawingml/2006/picture">
            <wp:extent cx="5943600" cy="4313238"/>
            <wp:docPr id="9" name="Picture 9" descr="EngiCite interface showing in-app notification centre."/>
            <wp:cNvGraphicFramePr>
              <a:graphicFrameLocks noChangeAspect="1"/>
            </wp:cNvGraphicFramePr>
            <a:graphic>
              <a:graphicData uri="http://schemas.openxmlformats.org/drawingml/2006/picture">
                <pic:pic>
                  <pic:nvPicPr>
                    <pic:cNvPr id="0" name="10-notifications.png"/>
                    <pic:cNvPicPr/>
                  </pic:nvPicPr>
                  <pic:blipFill>
                    <a:blip r:embed="rId20"/>
                    <a:stretch>
                      <a:fillRect/>
                    </a:stretch>
                  </pic:blipFill>
                  <pic:spPr>
                    <a:xfrm>
                      <a:off x="0" y="0"/>
                      <a:ext cx="5943600" cy="4313238"/>
                    </a:xfrm>
                    <a:prstGeom prst="rect"/>
                  </pic:spPr>
                </pic:pic>
              </a:graphicData>
            </a:graphic>
          </wp:inline>
        </w:drawing>
      </w:r>
    </w:p>
    <w:p>
      <w:pPr>
        <w:pStyle w:val="FigureCaption"/>
        <w:jc w:val="center"/>
      </w:pPr>
      <w:r>
        <w:t>Figure 8. In-app notification centre. Live development interface captured 13 August 2026.</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480"/>
        <w:gridCol w:w="8880"/>
      </w:tblGrid>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Operational context. </w:t>
            </w:r>
            <w:r>
              <w:rPr>
                <w:rFonts w:ascii="Calibri" w:hAnsi="Calibri"/>
                <w:b w:val="0"/>
                <w:i w:val="0"/>
                <w:color w:val="14263D"/>
                <w:sz w:val="18"/>
              </w:rPr>
              <w:t>Submission messages identify discipline, document and revision rather than only stating that a revision exists.</w:t>
            </w:r>
          </w:p>
        </w:tc>
      </w:tr>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Reduced noise. </w:t>
            </w:r>
            <w:r>
              <w:rPr>
                <w:rFonts w:ascii="Calibri" w:hAnsi="Calibri"/>
                <w:b w:val="0"/>
                <w:i w:val="0"/>
                <w:color w:val="14263D"/>
                <w:sz w:val="18"/>
              </w:rPr>
              <w:t>Unread counts fall as messages are read and users can clear resolved items.</w:t>
            </w:r>
          </w:p>
        </w:tc>
      </w:tr>
    </w:tbl>
    <w:p>
      <w:pPr>
        <w:spacing w:after="0"/>
      </w:pPr>
    </w:p>
    <w:p>
      <w:r>
        <w:br w:type="page"/>
      </w:r>
    </w:p>
    <w:p>
      <w:pPr>
        <w:pStyle w:val="Kicker"/>
      </w:pPr>
      <w:r>
        <w:t>DELIVERY OVERSIGHT</w:t>
      </w:r>
    </w:p>
    <w:p>
      <w:pPr>
        <w:keepNext/>
        <w:spacing w:before="0" w:after="120"/>
        <w:jc w:val="left"/>
      </w:pPr>
      <w:r>
        <w:rPr>
          <w:rFonts w:ascii="Calibri" w:hAnsi="Calibri"/>
          <w:b/>
          <w:i w:val="0"/>
          <w:color w:val="082345"/>
          <w:sz w:val="42"/>
        </w:rPr>
        <w:t>Progress is calculated against the MDR</w:t>
      </w:r>
    </w:p>
    <w:p>
      <w:pPr>
        <w:spacing w:after="160" w:line="293" w:lineRule="auto"/>
        <w:jc w:val="left"/>
      </w:pPr>
      <w:r>
        <w:rPr>
          <w:rFonts w:ascii="Calibri" w:hAnsi="Calibri"/>
          <w:b w:val="0"/>
          <w:i w:val="0"/>
          <w:color w:val="5E6B7A"/>
          <w:sz w:val="23"/>
        </w:rPr>
        <w:t>The project dashboard compares planned deliverables with uploaded, approved/final and overdue records, then breaks performance down by discipline.</w:t>
      </w:r>
    </w:p>
    <w:p>
      <w:pPr>
        <w:spacing w:before="40" w:after="0"/>
        <w:jc w:val="center"/>
      </w:pPr>
      <w:r>
        <w:drawing>
          <wp:inline xmlns:a="http://schemas.openxmlformats.org/drawingml/2006/main" xmlns:pic="http://schemas.openxmlformats.org/drawingml/2006/picture">
            <wp:extent cx="5943600" cy="4313238"/>
            <wp:docPr id="10" name="Picture 10" descr="EngiCite interface showing project and discipline delivery progress."/>
            <wp:cNvGraphicFramePr>
              <a:graphicFrameLocks noChangeAspect="1"/>
            </wp:cNvGraphicFramePr>
            <a:graphic>
              <a:graphicData uri="http://schemas.openxmlformats.org/drawingml/2006/picture">
                <pic:pic>
                  <pic:nvPicPr>
                    <pic:cNvPr id="0" name="07-delivery-progress.png"/>
                    <pic:cNvPicPr/>
                  </pic:nvPicPr>
                  <pic:blipFill>
                    <a:blip r:embed="rId21"/>
                    <a:stretch>
                      <a:fillRect/>
                    </a:stretch>
                  </pic:blipFill>
                  <pic:spPr>
                    <a:xfrm>
                      <a:off x="0" y="0"/>
                      <a:ext cx="5943600" cy="4313238"/>
                    </a:xfrm>
                    <a:prstGeom prst="rect"/>
                  </pic:spPr>
                </pic:pic>
              </a:graphicData>
            </a:graphic>
          </wp:inline>
        </w:drawing>
      </w:r>
    </w:p>
    <w:p>
      <w:pPr>
        <w:pStyle w:val="FigureCaption"/>
        <w:jc w:val="center"/>
      </w:pPr>
      <w:r>
        <w:t>Figure 9. Project and discipline delivery progress. Live development interface captured 13 August 2026.</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480"/>
        <w:gridCol w:w="8880"/>
      </w:tblGrid>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Plan-based measurement. </w:t>
            </w:r>
            <w:r>
              <w:rPr>
                <w:rFonts w:ascii="Calibri" w:hAnsi="Calibri"/>
                <w:b w:val="0"/>
                <w:i w:val="0"/>
                <w:color w:val="14263D"/>
                <w:sz w:val="18"/>
              </w:rPr>
              <w:t>The denominator is the complete active MDR, not an informal count of files in storage.</w:t>
            </w:r>
          </w:p>
        </w:tc>
      </w:tr>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Discipline accountability. </w:t>
            </w:r>
            <w:r>
              <w:rPr>
                <w:rFonts w:ascii="Calibri" w:hAnsi="Calibri"/>
                <w:b w:val="0"/>
                <w:i w:val="0"/>
                <w:color w:val="14263D"/>
                <w:sz w:val="18"/>
              </w:rPr>
              <w:t>Process, piping, structural and electrical performance can be reviewed independently.</w:t>
            </w:r>
          </w:p>
        </w:tc>
      </w:tr>
    </w:tbl>
    <w:p>
      <w:pPr>
        <w:spacing w:after="0"/>
      </w:pPr>
    </w:p>
    <w:p>
      <w:r>
        <w:br w:type="page"/>
      </w:r>
    </w:p>
    <w:p>
      <w:pPr>
        <w:pStyle w:val="Kicker"/>
      </w:pPr>
      <w:r>
        <w:t>MANAGEMENT REPORTING</w:t>
      </w:r>
    </w:p>
    <w:p>
      <w:pPr>
        <w:keepNext/>
        <w:spacing w:before="0" w:after="120"/>
        <w:jc w:val="left"/>
      </w:pPr>
      <w:r>
        <w:rPr>
          <w:rFonts w:ascii="Calibri" w:hAnsi="Calibri"/>
          <w:b/>
          <w:i w:val="0"/>
          <w:color w:val="082345"/>
          <w:sz w:val="42"/>
        </w:rPr>
        <w:t>A repeatable weekly progress report</w:t>
      </w:r>
    </w:p>
    <w:p>
      <w:pPr>
        <w:spacing w:after="160" w:line="293" w:lineRule="auto"/>
        <w:jc w:val="left"/>
      </w:pPr>
      <w:r>
        <w:rPr>
          <w:rFonts w:ascii="Calibri" w:hAnsi="Calibri"/>
          <w:b w:val="0"/>
          <w:i w:val="0"/>
          <w:color w:val="5E6B7A"/>
          <w:sz w:val="23"/>
        </w:rPr>
        <w:t>EngiCite produces a client-ready project report using project identity, organisation and client logos, reporting period, overall progress, discipline performance, weekly plan, issued deliverables, variance, look-ahead, challenges and an S-curve.</w:t>
      </w:r>
    </w:p>
    <w:p>
      <w:pPr>
        <w:spacing w:before="40" w:after="0"/>
        <w:jc w:val="center"/>
      </w:pPr>
      <w:r>
        <w:drawing>
          <wp:inline xmlns:a="http://schemas.openxmlformats.org/drawingml/2006/main" xmlns:pic="http://schemas.openxmlformats.org/drawingml/2006/picture">
            <wp:extent cx="5943600" cy="4313238"/>
            <wp:docPr id="11" name="Picture 11" descr="EngiCite interface showing generated weekly project progress report."/>
            <wp:cNvGraphicFramePr>
              <a:graphicFrameLocks noChangeAspect="1"/>
            </wp:cNvGraphicFramePr>
            <a:graphic>
              <a:graphicData uri="http://schemas.openxmlformats.org/drawingml/2006/picture">
                <pic:pic>
                  <pic:nvPicPr>
                    <pic:cNvPr id="0" name="14-weekly-project-report.png"/>
                    <pic:cNvPicPr/>
                  </pic:nvPicPr>
                  <pic:blipFill>
                    <a:blip r:embed="rId22"/>
                    <a:stretch>
                      <a:fillRect/>
                    </a:stretch>
                  </pic:blipFill>
                  <pic:spPr>
                    <a:xfrm>
                      <a:off x="0" y="0"/>
                      <a:ext cx="5943600" cy="4313238"/>
                    </a:xfrm>
                    <a:prstGeom prst="rect"/>
                  </pic:spPr>
                </pic:pic>
              </a:graphicData>
            </a:graphic>
          </wp:inline>
        </w:drawing>
      </w:r>
    </w:p>
    <w:p>
      <w:pPr>
        <w:pStyle w:val="FigureCaption"/>
        <w:jc w:val="center"/>
      </w:pPr>
      <w:r>
        <w:t>Figure 10. Generated weekly project progress report. Live development interface captured 13 August 2026.</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480"/>
        <w:gridCol w:w="8880"/>
      </w:tblGrid>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Consistent presentation. </w:t>
            </w:r>
            <w:r>
              <w:rPr>
                <w:rFonts w:ascii="Calibri" w:hAnsi="Calibri"/>
                <w:b w:val="0"/>
                <w:i w:val="0"/>
                <w:color w:val="14263D"/>
                <w:sz w:val="18"/>
              </w:rPr>
              <w:t>Project data is transformed into a repeatable report instead of rebuilt in PowerPoint or Excel each week.</w:t>
            </w:r>
          </w:p>
        </w:tc>
      </w:tr>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Client-facing logic. </w:t>
            </w:r>
            <w:r>
              <w:rPr>
                <w:rFonts w:ascii="Calibri" w:hAnsi="Calibri"/>
                <w:b w:val="0"/>
                <w:i w:val="0"/>
                <w:color w:val="14263D"/>
                <w:sz w:val="18"/>
              </w:rPr>
              <w:t>Only DCC-accepted records count as issued; internal accept/reject activity is not exposed as client progress.</w:t>
            </w:r>
          </w:p>
        </w:tc>
      </w:tr>
    </w:tbl>
    <w:p>
      <w:pPr>
        <w:spacing w:after="0"/>
      </w:pPr>
    </w:p>
    <w:p>
      <w:r>
        <w:br w:type="page"/>
      </w:r>
    </w:p>
    <w:p>
      <w:pPr>
        <w:pStyle w:val="Kicker"/>
      </w:pPr>
      <w:r>
        <w:t>CONTROLLED HANDOVER</w:t>
      </w:r>
    </w:p>
    <w:p>
      <w:pPr>
        <w:keepNext/>
        <w:spacing w:before="0" w:after="120"/>
        <w:jc w:val="left"/>
      </w:pPr>
      <w:r>
        <w:rPr>
          <w:rFonts w:ascii="Calibri" w:hAnsi="Calibri"/>
          <w:b/>
          <w:i w:val="0"/>
          <w:color w:val="082345"/>
          <w:sz w:val="42"/>
        </w:rPr>
        <w:t>Freeze the exact issue set</w:t>
      </w:r>
    </w:p>
    <w:p>
      <w:pPr>
        <w:spacing w:after="160" w:line="293" w:lineRule="auto"/>
        <w:jc w:val="left"/>
      </w:pPr>
      <w:r>
        <w:rPr>
          <w:rFonts w:ascii="Calibri" w:hAnsi="Calibri"/>
          <w:b w:val="0"/>
          <w:i w:val="0"/>
          <w:color w:val="5E6B7A"/>
          <w:sz w:val="23"/>
        </w:rPr>
        <w:t>The work package workspace lets authorised users assemble accepted revisions by discipline and issue status, then deliver a secure local package or a configured external destination.</w:t>
      </w:r>
    </w:p>
    <w:p>
      <w:pPr>
        <w:spacing w:before="40" w:after="0"/>
        <w:jc w:val="center"/>
      </w:pPr>
      <w:r>
        <w:drawing>
          <wp:inline xmlns:a="http://schemas.openxmlformats.org/drawingml/2006/main" xmlns:pic="http://schemas.openxmlformats.org/drawingml/2006/picture">
            <wp:extent cx="5943600" cy="4313238"/>
            <wp:docPr id="12" name="Picture 12" descr="EngiCite interface showing engineering work package and delivery workspace."/>
            <wp:cNvGraphicFramePr>
              <a:graphicFrameLocks noChangeAspect="1"/>
            </wp:cNvGraphicFramePr>
            <a:graphic>
              <a:graphicData uri="http://schemas.openxmlformats.org/drawingml/2006/picture">
                <pic:pic>
                  <pic:nvPicPr>
                    <pic:cNvPr id="0" name="08-work-packages.png"/>
                    <pic:cNvPicPr/>
                  </pic:nvPicPr>
                  <pic:blipFill>
                    <a:blip r:embed="rId23"/>
                    <a:stretch>
                      <a:fillRect/>
                    </a:stretch>
                  </pic:blipFill>
                  <pic:spPr>
                    <a:xfrm>
                      <a:off x="0" y="0"/>
                      <a:ext cx="5943600" cy="4313238"/>
                    </a:xfrm>
                    <a:prstGeom prst="rect"/>
                  </pic:spPr>
                </pic:pic>
              </a:graphicData>
            </a:graphic>
          </wp:inline>
        </w:drawing>
      </w:r>
    </w:p>
    <w:p>
      <w:pPr>
        <w:pStyle w:val="FigureCaption"/>
        <w:jc w:val="center"/>
      </w:pPr>
      <w:r>
        <w:t>Figure 11. Engineering work package and delivery workspace. Live development interface captured 13 August 2026.</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480"/>
        <w:gridCol w:w="8880"/>
      </w:tblGrid>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Reproducible package. </w:t>
            </w:r>
            <w:r>
              <w:rPr>
                <w:rFonts w:ascii="Calibri" w:hAnsi="Calibri"/>
                <w:b w:val="0"/>
                <w:i w:val="0"/>
                <w:color w:val="14263D"/>
                <w:sz w:val="18"/>
              </w:rPr>
              <w:t>The selected revision set is frozen so the delivered record cannot silently change later.</w:t>
            </w:r>
          </w:p>
        </w:tc>
      </w:tr>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Flexible use. </w:t>
            </w:r>
            <w:r>
              <w:rPr>
                <w:rFonts w:ascii="Calibri" w:hAnsi="Calibri"/>
                <w:b w:val="0"/>
                <w:i w:val="0"/>
                <w:color w:val="14263D"/>
                <w:sz w:val="18"/>
              </w:rPr>
              <w:t>The same controls support interim issue sets, final work packs and formal handover.</w:t>
            </w:r>
          </w:p>
        </w:tc>
      </w:tr>
    </w:tbl>
    <w:p>
      <w:pPr>
        <w:spacing w:after="0"/>
      </w:pPr>
    </w:p>
    <w:p>
      <w:r>
        <w:br w:type="page"/>
      </w:r>
    </w:p>
    <w:p>
      <w:pPr>
        <w:pStyle w:val="Kicker"/>
      </w:pPr>
      <w:r>
        <w:t>CLIENT TRANSMISSION</w:t>
      </w:r>
    </w:p>
    <w:p>
      <w:pPr>
        <w:keepNext/>
        <w:spacing w:before="0" w:after="120"/>
        <w:jc w:val="left"/>
      </w:pPr>
      <w:r>
        <w:rPr>
          <w:rFonts w:ascii="Calibri" w:hAnsi="Calibri"/>
          <w:b/>
          <w:i w:val="0"/>
          <w:color w:val="082345"/>
          <w:sz w:val="42"/>
        </w:rPr>
        <w:t>Create a professional transmittal from accepted revisions</w:t>
      </w:r>
    </w:p>
    <w:p>
      <w:pPr>
        <w:spacing w:after="160" w:line="293" w:lineRule="auto"/>
        <w:jc w:val="left"/>
      </w:pPr>
      <w:r>
        <w:rPr>
          <w:rFonts w:ascii="Calibri" w:hAnsi="Calibri"/>
          <w:b w:val="0"/>
          <w:i w:val="0"/>
          <w:color w:val="5E6B7A"/>
          <w:sz w:val="23"/>
        </w:rPr>
        <w:t>The transmittal form captures a unique transmission number, recipient, purpose and cover message, then adds only current DCC-accepted revisions to the issue set.</w:t>
      </w:r>
    </w:p>
    <w:p>
      <w:pPr>
        <w:spacing w:before="40" w:after="0"/>
        <w:jc w:val="center"/>
      </w:pPr>
      <w:r>
        <w:drawing>
          <wp:inline xmlns:a="http://schemas.openxmlformats.org/drawingml/2006/main" xmlns:pic="http://schemas.openxmlformats.org/drawingml/2006/picture">
            <wp:extent cx="5943600" cy="4313238"/>
            <wp:docPr id="13" name="Picture 13" descr="EngiCite interface showing new client transmittal form."/>
            <wp:cNvGraphicFramePr>
              <a:graphicFrameLocks noChangeAspect="1"/>
            </wp:cNvGraphicFramePr>
            <a:graphic>
              <a:graphicData uri="http://schemas.openxmlformats.org/drawingml/2006/picture">
                <pic:pic>
                  <pic:nvPicPr>
                    <pic:cNvPr id="0" name="09-new-transmittal.png"/>
                    <pic:cNvPicPr/>
                  </pic:nvPicPr>
                  <pic:blipFill>
                    <a:blip r:embed="rId24"/>
                    <a:stretch>
                      <a:fillRect/>
                    </a:stretch>
                  </pic:blipFill>
                  <pic:spPr>
                    <a:xfrm>
                      <a:off x="0" y="0"/>
                      <a:ext cx="5943600" cy="4313238"/>
                    </a:xfrm>
                    <a:prstGeom prst="rect"/>
                  </pic:spPr>
                </pic:pic>
              </a:graphicData>
            </a:graphic>
          </wp:inline>
        </w:drawing>
      </w:r>
    </w:p>
    <w:p>
      <w:pPr>
        <w:pStyle w:val="FigureCaption"/>
        <w:jc w:val="center"/>
      </w:pPr>
      <w:r>
        <w:t>Figure 12. New client transmittal form. Live development interface captured 13 August 2026.</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480"/>
        <w:gridCol w:w="8880"/>
      </w:tblGrid>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Controlled selection. </w:t>
            </w:r>
            <w:r>
              <w:rPr>
                <w:rFonts w:ascii="Calibri" w:hAnsi="Calibri"/>
                <w:b w:val="0"/>
                <w:i w:val="0"/>
                <w:color w:val="14263D"/>
                <w:sz w:val="18"/>
              </w:rPr>
              <w:t>Previously issued documents can show the transmittal number, reducing accidental reissue.</w:t>
            </w:r>
          </w:p>
        </w:tc>
      </w:tr>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Acknowledgement-ready. </w:t>
            </w:r>
            <w:r>
              <w:rPr>
                <w:rFonts w:ascii="Calibri" w:hAnsi="Calibri"/>
                <w:b w:val="0"/>
                <w:i w:val="0"/>
                <w:color w:val="14263D"/>
                <w:sz w:val="18"/>
              </w:rPr>
              <w:t>The package includes a client-facing transmittal cover suitable for receipt acknowledgement.</w:t>
            </w:r>
          </w:p>
        </w:tc>
      </w:tr>
    </w:tbl>
    <w:p>
      <w:pPr>
        <w:spacing w:after="0"/>
      </w:pPr>
    </w:p>
    <w:p>
      <w:r>
        <w:br w:type="page"/>
      </w:r>
    </w:p>
    <w:p>
      <w:pPr>
        <w:pStyle w:val="Kicker"/>
      </w:pPr>
      <w:r>
        <w:t>EVIDENCE RETRIEVAL</w:t>
      </w:r>
    </w:p>
    <w:p>
      <w:pPr>
        <w:keepNext/>
        <w:spacing w:before="0" w:after="120"/>
        <w:jc w:val="left"/>
      </w:pPr>
      <w:r>
        <w:rPr>
          <w:rFonts w:ascii="Calibri" w:hAnsi="Calibri"/>
          <w:b/>
          <w:i w:val="0"/>
          <w:color w:val="082345"/>
          <w:sz w:val="42"/>
        </w:rPr>
        <w:t>Search engineering content, not just filenames</w:t>
      </w:r>
    </w:p>
    <w:p>
      <w:pPr>
        <w:spacing w:after="160" w:line="293" w:lineRule="auto"/>
        <w:jc w:val="left"/>
      </w:pPr>
      <w:r>
        <w:rPr>
          <w:rFonts w:ascii="Calibri" w:hAnsi="Calibri"/>
          <w:b w:val="0"/>
          <w:i w:val="0"/>
          <w:color w:val="5E6B7A"/>
          <w:sz w:val="23"/>
        </w:rPr>
        <w:t>Evidence search combines document metadata and extracted content so authorised users can locate the right record and navigate back to its source revision.</w:t>
      </w:r>
    </w:p>
    <w:p>
      <w:pPr>
        <w:spacing w:before="40" w:after="0"/>
        <w:jc w:val="center"/>
      </w:pPr>
      <w:r>
        <w:drawing>
          <wp:inline xmlns:a="http://schemas.openxmlformats.org/drawingml/2006/main" xmlns:pic="http://schemas.openxmlformats.org/drawingml/2006/picture">
            <wp:extent cx="5943600" cy="4313238"/>
            <wp:docPr id="14" name="Picture 14" descr="EngiCite interface showing engineering evidence search."/>
            <wp:cNvGraphicFramePr>
              <a:graphicFrameLocks noChangeAspect="1"/>
            </wp:cNvGraphicFramePr>
            <a:graphic>
              <a:graphicData uri="http://schemas.openxmlformats.org/drawingml/2006/picture">
                <pic:pic>
                  <pic:nvPicPr>
                    <pic:cNvPr id="0" name="11-evidence-search.png"/>
                    <pic:cNvPicPr/>
                  </pic:nvPicPr>
                  <pic:blipFill>
                    <a:blip r:embed="rId25"/>
                    <a:stretch>
                      <a:fillRect/>
                    </a:stretch>
                  </pic:blipFill>
                  <pic:spPr>
                    <a:xfrm>
                      <a:off x="0" y="0"/>
                      <a:ext cx="5943600" cy="4313238"/>
                    </a:xfrm>
                    <a:prstGeom prst="rect"/>
                  </pic:spPr>
                </pic:pic>
              </a:graphicData>
            </a:graphic>
          </wp:inline>
        </w:drawing>
      </w:r>
    </w:p>
    <w:p>
      <w:pPr>
        <w:pStyle w:val="FigureCaption"/>
        <w:jc w:val="center"/>
      </w:pPr>
      <w:r>
        <w:t>Figure 13. Engineering evidence search. Live development interface captured 13 August 2026.</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480"/>
        <w:gridCol w:w="8880"/>
      </w:tblGrid>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Faster discovery. </w:t>
            </w:r>
            <w:r>
              <w:rPr>
                <w:rFonts w:ascii="Calibri" w:hAnsi="Calibri"/>
                <w:b w:val="0"/>
                <w:i w:val="0"/>
                <w:color w:val="14263D"/>
                <w:sz w:val="18"/>
              </w:rPr>
              <w:t>Users can search by engineering concepts as well as document numbers and titles.</w:t>
            </w:r>
          </w:p>
        </w:tc>
      </w:tr>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Scoped results. </w:t>
            </w:r>
            <w:r>
              <w:rPr>
                <w:rFonts w:ascii="Calibri" w:hAnsi="Calibri"/>
                <w:b w:val="0"/>
                <w:i w:val="0"/>
                <w:color w:val="14263D"/>
                <w:sz w:val="18"/>
              </w:rPr>
              <w:t>Retrieval stays inside the active organisation and project permission boundary.</w:t>
            </w:r>
          </w:p>
        </w:tc>
      </w:tr>
    </w:tbl>
    <w:p>
      <w:pPr>
        <w:spacing w:after="0"/>
      </w:pPr>
    </w:p>
    <w:p>
      <w:r>
        <w:br w:type="page"/>
      </w:r>
    </w:p>
    <w:p>
      <w:pPr>
        <w:pStyle w:val="Kicker"/>
      </w:pPr>
      <w:r>
        <w:t>ASK ENGICITE</w:t>
      </w:r>
    </w:p>
    <w:p>
      <w:pPr>
        <w:keepNext/>
        <w:spacing w:before="0" w:after="120"/>
        <w:jc w:val="left"/>
      </w:pPr>
      <w:r>
        <w:rPr>
          <w:rFonts w:ascii="Calibri" w:hAnsi="Calibri"/>
          <w:b/>
          <w:i w:val="0"/>
          <w:color w:val="082345"/>
          <w:sz w:val="42"/>
        </w:rPr>
        <w:t>Project questions must point back to proof</w:t>
      </w:r>
    </w:p>
    <w:p>
      <w:pPr>
        <w:spacing w:after="160" w:line="293" w:lineRule="auto"/>
        <w:jc w:val="left"/>
      </w:pPr>
      <w:r>
        <w:rPr>
          <w:rFonts w:ascii="Calibri" w:hAnsi="Calibri"/>
          <w:b w:val="0"/>
          <w:i w:val="0"/>
          <w:color w:val="5E6B7A"/>
          <w:sz w:val="23"/>
        </w:rPr>
        <w:t>The AI workspace is designed to answer only from selected, authorised project documents and cite the document number, revision and page. When the evidence is insufficient, the expected response is to say so.</w:t>
      </w:r>
    </w:p>
    <w:p>
      <w:pPr>
        <w:spacing w:before="40" w:after="0"/>
        <w:jc w:val="center"/>
      </w:pPr>
      <w:r>
        <w:drawing>
          <wp:inline xmlns:a="http://schemas.openxmlformats.org/drawingml/2006/main" xmlns:pic="http://schemas.openxmlformats.org/drawingml/2006/picture">
            <wp:extent cx="5943600" cy="4313238"/>
            <wp:docPr id="15" name="Picture 15" descr="EngiCite interface showing citation-grounded ai document question answering."/>
            <wp:cNvGraphicFramePr>
              <a:graphicFrameLocks noChangeAspect="1"/>
            </wp:cNvGraphicFramePr>
            <a:graphic>
              <a:graphicData uri="http://schemas.openxmlformats.org/drawingml/2006/picture">
                <pic:pic>
                  <pic:nvPicPr>
                    <pic:cNvPr id="0" name="12-ai-document-chat.png"/>
                    <pic:cNvPicPr/>
                  </pic:nvPicPr>
                  <pic:blipFill>
                    <a:blip r:embed="rId26"/>
                    <a:stretch>
                      <a:fillRect/>
                    </a:stretch>
                  </pic:blipFill>
                  <pic:spPr>
                    <a:xfrm>
                      <a:off x="0" y="0"/>
                      <a:ext cx="5943600" cy="4313238"/>
                    </a:xfrm>
                    <a:prstGeom prst="rect"/>
                  </pic:spPr>
                </pic:pic>
              </a:graphicData>
            </a:graphic>
          </wp:inline>
        </w:drawing>
      </w:r>
    </w:p>
    <w:p>
      <w:pPr>
        <w:pStyle w:val="FigureCaption"/>
        <w:jc w:val="center"/>
      </w:pPr>
      <w:r>
        <w:t>Figure 14. Citation-grounded AI document question answering. Live development interface captured 13 August 2026.</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480"/>
        <w:gridCol w:w="8880"/>
      </w:tblGrid>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Evidence first. </w:t>
            </w:r>
            <w:r>
              <w:rPr>
                <w:rFonts w:ascii="Calibri" w:hAnsi="Calibri"/>
                <w:b w:val="0"/>
                <w:i w:val="0"/>
                <w:color w:val="14263D"/>
                <w:sz w:val="18"/>
              </w:rPr>
              <w:t>The differentiator is not a generic chatbot; it is a traceable answer linked to controlled source material.</w:t>
            </w:r>
          </w:p>
        </w:tc>
      </w:tr>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Commercial note. </w:t>
            </w:r>
            <w:r>
              <w:rPr>
                <w:rFonts w:ascii="Calibri" w:hAnsi="Calibri"/>
                <w:b w:val="0"/>
                <w:i w:val="0"/>
                <w:color w:val="14263D"/>
                <w:sz w:val="18"/>
              </w:rPr>
              <w:t>Live AI answers require configured OpenAI API billing and production data-control settings.</w:t>
            </w:r>
          </w:p>
        </w:tc>
      </w:tr>
    </w:tbl>
    <w:p>
      <w:pPr>
        <w:spacing w:after="0"/>
      </w:pPr>
    </w:p>
    <w:p>
      <w:r>
        <w:br w:type="page"/>
      </w:r>
    </w:p>
    <w:p>
      <w:pPr>
        <w:pStyle w:val="Kicker"/>
      </w:pPr>
      <w:r>
        <w:t>REPORT GOVERNANCE</w:t>
      </w:r>
    </w:p>
    <w:p>
      <w:pPr>
        <w:keepNext/>
        <w:spacing w:before="0" w:after="120"/>
        <w:jc w:val="left"/>
      </w:pPr>
      <w:r>
        <w:rPr>
          <w:rFonts w:ascii="Calibri" w:hAnsi="Calibri"/>
          <w:b/>
          <w:i w:val="0"/>
          <w:color w:val="082345"/>
          <w:sz w:val="42"/>
        </w:rPr>
        <w:t>A controlled history of weekly reports</w:t>
      </w:r>
    </w:p>
    <w:p>
      <w:pPr>
        <w:spacing w:after="160" w:line="293" w:lineRule="auto"/>
        <w:jc w:val="left"/>
      </w:pPr>
      <w:r>
        <w:rPr>
          <w:rFonts w:ascii="Calibri" w:hAnsi="Calibri"/>
          <w:b w:val="0"/>
          <w:i w:val="0"/>
          <w:color w:val="5E6B7A"/>
          <w:sz w:val="23"/>
        </w:rPr>
        <w:t>Reports are stored as a project record, visible by reporting period, overall completion and overdue count. Role permissions determine who can generate or only read the report.</w:t>
      </w:r>
    </w:p>
    <w:p>
      <w:pPr>
        <w:spacing w:before="40" w:after="0"/>
        <w:jc w:val="center"/>
      </w:pPr>
      <w:r>
        <w:drawing>
          <wp:inline xmlns:a="http://schemas.openxmlformats.org/drawingml/2006/main" xmlns:pic="http://schemas.openxmlformats.org/drawingml/2006/picture">
            <wp:extent cx="5943600" cy="4313238"/>
            <wp:docPr id="16" name="Picture 16" descr="EngiCite interface showing weekly project report register."/>
            <wp:cNvGraphicFramePr>
              <a:graphicFrameLocks noChangeAspect="1"/>
            </wp:cNvGraphicFramePr>
            <a:graphic>
              <a:graphicData uri="http://schemas.openxmlformats.org/drawingml/2006/picture">
                <pic:pic>
                  <pic:nvPicPr>
                    <pic:cNvPr id="0" name="13-project-reports.png"/>
                    <pic:cNvPicPr/>
                  </pic:nvPicPr>
                  <pic:blipFill>
                    <a:blip r:embed="rId27"/>
                    <a:stretch>
                      <a:fillRect/>
                    </a:stretch>
                  </pic:blipFill>
                  <pic:spPr>
                    <a:xfrm>
                      <a:off x="0" y="0"/>
                      <a:ext cx="5943600" cy="4313238"/>
                    </a:xfrm>
                    <a:prstGeom prst="rect"/>
                  </pic:spPr>
                </pic:pic>
              </a:graphicData>
            </a:graphic>
          </wp:inline>
        </w:drawing>
      </w:r>
    </w:p>
    <w:p>
      <w:pPr>
        <w:pStyle w:val="FigureCaption"/>
        <w:jc w:val="center"/>
      </w:pPr>
      <w:r>
        <w:t>Figure 15. Weekly project report register. Live development interface captured 13 August 2026.</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480"/>
        <w:gridCol w:w="8880"/>
      </w:tblGrid>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Auditability. </w:t>
            </w:r>
            <w:r>
              <w:rPr>
                <w:rFonts w:ascii="Calibri" w:hAnsi="Calibri"/>
                <w:b w:val="0"/>
                <w:i w:val="0"/>
                <w:color w:val="14263D"/>
                <w:sz w:val="18"/>
              </w:rPr>
              <w:t>Management can revisit what was reported for a specific week rather than relying on overwritten files.</w:t>
            </w:r>
          </w:p>
        </w:tc>
      </w:tr>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Role separation. </w:t>
            </w:r>
            <w:r>
              <w:rPr>
                <w:rFonts w:ascii="Calibri" w:hAnsi="Calibri"/>
                <w:b w:val="0"/>
                <w:i w:val="0"/>
                <w:color w:val="14263D"/>
                <w:sz w:val="18"/>
              </w:rPr>
              <w:t>Project administrators control schedules and generation while other authorised users receive read-only access.</w:t>
            </w:r>
          </w:p>
        </w:tc>
      </w:tr>
    </w:tbl>
    <w:p>
      <w:pPr>
        <w:spacing w:after="0"/>
      </w:pPr>
    </w:p>
    <w:p>
      <w:r>
        <w:br w:type="page"/>
      </w:r>
    </w:p>
    <w:p>
      <w:pPr>
        <w:pStyle w:val="Kicker"/>
      </w:pPr>
      <w:r>
        <w:t>CAPABILITY STATUS</w:t>
      </w:r>
    </w:p>
    <w:p>
      <w:pPr>
        <w:keepNext/>
        <w:spacing w:before="0" w:after="160"/>
        <w:jc w:val="left"/>
      </w:pPr>
      <w:r>
        <w:rPr>
          <w:rFonts w:ascii="Calibri" w:hAnsi="Calibri"/>
          <w:b/>
          <w:i w:val="0"/>
          <w:color w:val="082345"/>
          <w:sz w:val="44"/>
        </w:rPr>
        <w:t>Market what is demonstrated - label what still needs configuration</w:t>
      </w:r>
    </w:p>
    <w:p>
      <w:pPr>
        <w:spacing w:after="240" w:line="293" w:lineRule="auto"/>
        <w:jc w:val="left"/>
      </w:pPr>
      <w:r>
        <w:rPr>
          <w:rFonts w:ascii="Calibri" w:hAnsi="Calibri"/>
          <w:b w:val="0"/>
          <w:i w:val="0"/>
          <w:color w:val="5E6B7A"/>
          <w:sz w:val="23"/>
        </w:rPr>
        <w:t>The current build supports a compelling pilot demonstration. External-service and enterprise-readiness claims should remain clearly qualified until the listed controls are configured and evidenced.</w:t>
      </w:r>
    </w:p>
    <w:tbl>
      <w:tblPr>
        <w:tblW w:type="dxa" w:w="9360"/>
        <w:jc w:val="left"/>
        <w:tblLayout w:type="fixed"/>
        <w:tblLook w:firstColumn="1" w:firstRow="1" w:lastColumn="0" w:lastRow="0" w:noHBand="0" w:noVBand="1" w:val="04A0"/>
        <w:tblInd w:w="120" w:type="dxa"/>
        <w:tblBorders>
          <w:top w:val="single" w:sz="5" w:color="DDE5EC"/>
          <w:left w:val="single" w:sz="5" w:color="DDE5EC"/>
          <w:bottom w:val="single" w:sz="5" w:color="DDE5EC"/>
          <w:right w:val="single" w:sz="5" w:color="DDE5EC"/>
          <w:insideH w:val="single" w:sz="5" w:color="DDE5EC"/>
          <w:insideV w:val="single" w:sz="5" w:color="DDE5EC"/>
        </w:tblBorders>
      </w:tblPr>
      <w:tblGrid>
        <w:gridCol w:w="2200"/>
        <w:gridCol w:w="3860"/>
        <w:gridCol w:w="3300"/>
      </w:tblGrid>
      <w:tr>
        <w:tc>
          <w:tcPr>
            <w:tcW w:type="dxa" w:w="2200"/>
            <w:tcMar>
              <w:top w:w="80" w:type="dxa"/>
              <w:start w:w="120" w:type="dxa"/>
              <w:bottom w:w="80" w:type="dxa"/>
              <w:end w:w="120" w:type="dxa"/>
            </w:tcMar>
            <w:shd w:fill="082345"/>
          </w:tcPr>
          <w:p>
            <w:pPr>
              <w:spacing w:after="0"/>
            </w:pPr>
            <w:r>
              <w:rPr>
                <w:rFonts w:ascii="Calibri" w:hAnsi="Calibri"/>
                <w:b/>
                <w:i w:val="0"/>
                <w:color w:val="FFFFFF"/>
                <w:sz w:val="17"/>
              </w:rPr>
              <w:t>Status</w:t>
            </w:r>
          </w:p>
        </w:tc>
        <w:tc>
          <w:tcPr>
            <w:tcW w:type="dxa" w:w="3860"/>
            <w:tcMar>
              <w:top w:w="80" w:type="dxa"/>
              <w:start w:w="120" w:type="dxa"/>
              <w:bottom w:w="80" w:type="dxa"/>
              <w:end w:w="120" w:type="dxa"/>
            </w:tcMar>
            <w:shd w:fill="082345"/>
          </w:tcPr>
          <w:p>
            <w:pPr>
              <w:spacing w:after="0"/>
            </w:pPr>
            <w:r>
              <w:rPr>
                <w:rFonts w:ascii="Calibri" w:hAnsi="Calibri"/>
                <w:b/>
                <w:i w:val="0"/>
                <w:color w:val="FFFFFF"/>
                <w:sz w:val="17"/>
              </w:rPr>
              <w:t>Capability</w:t>
            </w:r>
          </w:p>
        </w:tc>
        <w:tc>
          <w:tcPr>
            <w:tcW w:type="dxa" w:w="3300"/>
            <w:tcMar>
              <w:top w:w="80" w:type="dxa"/>
              <w:start w:w="120" w:type="dxa"/>
              <w:bottom w:w="80" w:type="dxa"/>
              <w:end w:w="120" w:type="dxa"/>
            </w:tcMar>
            <w:shd w:fill="082345"/>
          </w:tcPr>
          <w:p>
            <w:pPr>
              <w:spacing w:after="0"/>
            </w:pPr>
            <w:r>
              <w:rPr>
                <w:rFonts w:ascii="Calibri" w:hAnsi="Calibri"/>
                <w:b/>
                <w:i w:val="0"/>
                <w:color w:val="FFFFFF"/>
                <w:sz w:val="17"/>
              </w:rPr>
              <w:t>Marketing guidance</w:t>
            </w:r>
          </w:p>
        </w:tc>
      </w:tr>
      <w:tr>
        <w:tc>
          <w:tcPr>
            <w:tcW w:type="dxa" w:w="2200"/>
            <w:shd w:fill="E9F5F0"/>
          </w:tcPr>
          <w:p>
            <w:pPr>
              <w:spacing w:after="0"/>
              <w:jc w:val="center"/>
            </w:pPr>
            <w:r>
              <w:rPr>
                <w:rFonts w:ascii="Calibri" w:hAnsi="Calibri"/>
                <w:b/>
                <w:i w:val="0"/>
                <w:color w:val="16785B"/>
                <w:sz w:val="16"/>
              </w:rPr>
              <w:t>DEMONSTRATED</w:t>
            </w:r>
          </w:p>
        </w:tc>
        <w:tc>
          <w:tcPr>
            <w:tcW w:type="dxa" w:w="3860"/>
          </w:tcPr>
          <w:p>
            <w:pPr>
              <w:spacing w:after="0"/>
            </w:pPr>
            <w:r>
              <w:rPr>
                <w:rFonts w:ascii="Calibri" w:hAnsi="Calibri"/>
                <w:b w:val="0"/>
                <w:i w:val="0"/>
                <w:color w:val="14263D"/>
                <w:sz w:val="17"/>
              </w:rPr>
              <w:t>Secure sign-in; organisations and projects; role workspaces</w:t>
            </w:r>
          </w:p>
        </w:tc>
        <w:tc>
          <w:tcPr>
            <w:tcW w:type="dxa" w:w="3300"/>
          </w:tcPr>
          <w:p>
            <w:pPr>
              <w:spacing w:after="0"/>
            </w:pPr>
            <w:r>
              <w:rPr>
                <w:rFonts w:ascii="Calibri" w:hAnsi="Calibri"/>
                <w:b w:val="0"/>
                <w:i w:val="0"/>
                <w:color w:val="14263D"/>
                <w:sz w:val="17"/>
              </w:rPr>
              <w:t>Show in every pilot demo</w:t>
            </w:r>
          </w:p>
        </w:tc>
      </w:tr>
      <w:tr>
        <w:tc>
          <w:tcPr>
            <w:tcW w:type="dxa" w:w="2200"/>
            <w:shd w:fill="E9F5F0"/>
          </w:tcPr>
          <w:p>
            <w:pPr>
              <w:spacing w:after="0"/>
              <w:jc w:val="center"/>
            </w:pPr>
            <w:r>
              <w:rPr>
                <w:rFonts w:ascii="Calibri" w:hAnsi="Calibri"/>
                <w:b/>
                <w:i w:val="0"/>
                <w:color w:val="16785B"/>
                <w:sz w:val="16"/>
              </w:rPr>
              <w:t>DEMONSTRATED</w:t>
            </w:r>
          </w:p>
        </w:tc>
        <w:tc>
          <w:tcPr>
            <w:tcW w:type="dxa" w:w="3860"/>
          </w:tcPr>
          <w:p>
            <w:pPr>
              <w:spacing w:after="0"/>
            </w:pPr>
            <w:r>
              <w:rPr>
                <w:rFonts w:ascii="Calibri" w:hAnsi="Calibri"/>
                <w:b w:val="0"/>
                <w:i w:val="0"/>
                <w:color w:val="14263D"/>
                <w:sz w:val="17"/>
              </w:rPr>
              <w:t>MDR, discipline grouping, Excel import and submission dates</w:t>
            </w:r>
          </w:p>
        </w:tc>
        <w:tc>
          <w:tcPr>
            <w:tcW w:type="dxa" w:w="3300"/>
          </w:tcPr>
          <w:p>
            <w:pPr>
              <w:spacing w:after="0"/>
            </w:pPr>
            <w:r>
              <w:rPr>
                <w:rFonts w:ascii="Calibri" w:hAnsi="Calibri"/>
                <w:b w:val="0"/>
                <w:i w:val="0"/>
                <w:color w:val="14263D"/>
                <w:sz w:val="17"/>
              </w:rPr>
              <w:t>Lead with DCC time savings</w:t>
            </w:r>
          </w:p>
        </w:tc>
      </w:tr>
      <w:tr>
        <w:tc>
          <w:tcPr>
            <w:tcW w:type="dxa" w:w="2200"/>
            <w:shd w:fill="E9F5F0"/>
          </w:tcPr>
          <w:p>
            <w:pPr>
              <w:spacing w:after="0"/>
              <w:jc w:val="center"/>
            </w:pPr>
            <w:r>
              <w:rPr>
                <w:rFonts w:ascii="Calibri" w:hAnsi="Calibri"/>
                <w:b/>
                <w:i w:val="0"/>
                <w:color w:val="16785B"/>
                <w:sz w:val="16"/>
              </w:rPr>
              <w:t>DEMONSTRATED</w:t>
            </w:r>
          </w:p>
        </w:tc>
        <w:tc>
          <w:tcPr>
            <w:tcW w:type="dxa" w:w="3860"/>
          </w:tcPr>
          <w:p>
            <w:pPr>
              <w:spacing w:after="0"/>
            </w:pPr>
            <w:r>
              <w:rPr>
                <w:rFonts w:ascii="Calibri" w:hAnsi="Calibri"/>
                <w:b w:val="0"/>
                <w:i w:val="0"/>
                <w:color w:val="14263D"/>
                <w:sz w:val="17"/>
              </w:rPr>
              <w:t>Revision upload, history, secure preview and DCC review</w:t>
            </w:r>
          </w:p>
        </w:tc>
        <w:tc>
          <w:tcPr>
            <w:tcW w:type="dxa" w:w="3300"/>
          </w:tcPr>
          <w:p>
            <w:pPr>
              <w:spacing w:after="0"/>
            </w:pPr>
            <w:r>
              <w:rPr>
                <w:rFonts w:ascii="Calibri" w:hAnsi="Calibri"/>
                <w:b w:val="0"/>
                <w:i w:val="0"/>
                <w:color w:val="14263D"/>
                <w:sz w:val="17"/>
              </w:rPr>
              <w:t>Demonstrate the quality gate</w:t>
            </w:r>
          </w:p>
        </w:tc>
      </w:tr>
      <w:tr>
        <w:tc>
          <w:tcPr>
            <w:tcW w:type="dxa" w:w="2200"/>
            <w:shd w:fill="E9F5F0"/>
          </w:tcPr>
          <w:p>
            <w:pPr>
              <w:spacing w:after="0"/>
              <w:jc w:val="center"/>
            </w:pPr>
            <w:r>
              <w:rPr>
                <w:rFonts w:ascii="Calibri" w:hAnsi="Calibri"/>
                <w:b/>
                <w:i w:val="0"/>
                <w:color w:val="16785B"/>
                <w:sz w:val="16"/>
              </w:rPr>
              <w:t>DEMONSTRATED</w:t>
            </w:r>
          </w:p>
        </w:tc>
        <w:tc>
          <w:tcPr>
            <w:tcW w:type="dxa" w:w="3860"/>
          </w:tcPr>
          <w:p>
            <w:pPr>
              <w:spacing w:after="0"/>
            </w:pPr>
            <w:r>
              <w:rPr>
                <w:rFonts w:ascii="Calibri" w:hAnsi="Calibri"/>
                <w:b w:val="0"/>
                <w:i w:val="0"/>
                <w:color w:val="14263D"/>
                <w:sz w:val="17"/>
              </w:rPr>
              <w:t>Notifications, delivery progress and weekly reports</w:t>
            </w:r>
          </w:p>
        </w:tc>
        <w:tc>
          <w:tcPr>
            <w:tcW w:type="dxa" w:w="3300"/>
          </w:tcPr>
          <w:p>
            <w:pPr>
              <w:spacing w:after="0"/>
            </w:pPr>
            <w:r>
              <w:rPr>
                <w:rFonts w:ascii="Calibri" w:hAnsi="Calibri"/>
                <w:b w:val="0"/>
                <w:i w:val="0"/>
                <w:color w:val="14263D"/>
                <w:sz w:val="17"/>
              </w:rPr>
              <w:t>Use to sell management visibility</w:t>
            </w:r>
          </w:p>
        </w:tc>
      </w:tr>
      <w:tr>
        <w:tc>
          <w:tcPr>
            <w:tcW w:type="dxa" w:w="2200"/>
            <w:shd w:fill="E9F5F0"/>
          </w:tcPr>
          <w:p>
            <w:pPr>
              <w:spacing w:after="0"/>
              <w:jc w:val="center"/>
            </w:pPr>
            <w:r>
              <w:rPr>
                <w:rFonts w:ascii="Calibri" w:hAnsi="Calibri"/>
                <w:b/>
                <w:i w:val="0"/>
                <w:color w:val="16785B"/>
                <w:sz w:val="16"/>
              </w:rPr>
              <w:t>DEMONSTRATED</w:t>
            </w:r>
          </w:p>
        </w:tc>
        <w:tc>
          <w:tcPr>
            <w:tcW w:type="dxa" w:w="3860"/>
          </w:tcPr>
          <w:p>
            <w:pPr>
              <w:spacing w:after="0"/>
            </w:pPr>
            <w:r>
              <w:rPr>
                <w:rFonts w:ascii="Calibri" w:hAnsi="Calibri"/>
                <w:b w:val="0"/>
                <w:i w:val="0"/>
                <w:color w:val="14263D"/>
                <w:sz w:val="17"/>
              </w:rPr>
              <w:t>Work packages and client transmittal workflow</w:t>
            </w:r>
          </w:p>
        </w:tc>
        <w:tc>
          <w:tcPr>
            <w:tcW w:type="dxa" w:w="3300"/>
          </w:tcPr>
          <w:p>
            <w:pPr>
              <w:spacing w:after="0"/>
            </w:pPr>
            <w:r>
              <w:rPr>
                <w:rFonts w:ascii="Calibri" w:hAnsi="Calibri"/>
                <w:b w:val="0"/>
                <w:i w:val="0"/>
                <w:color w:val="14263D"/>
                <w:sz w:val="17"/>
              </w:rPr>
              <w:t>Show controlled issue and handover</w:t>
            </w:r>
          </w:p>
        </w:tc>
      </w:tr>
      <w:tr>
        <w:tc>
          <w:tcPr>
            <w:tcW w:type="dxa" w:w="2200"/>
            <w:shd w:fill="FCE9E0"/>
          </w:tcPr>
          <w:p>
            <w:pPr>
              <w:spacing w:after="0"/>
              <w:jc w:val="center"/>
            </w:pPr>
            <w:r>
              <w:rPr>
                <w:rFonts w:ascii="Calibri" w:hAnsi="Calibri"/>
                <w:b/>
                <w:i w:val="0"/>
                <w:color w:val="8A6200"/>
                <w:sz w:val="16"/>
              </w:rPr>
              <w:t>CONFIGURE</w:t>
            </w:r>
          </w:p>
        </w:tc>
        <w:tc>
          <w:tcPr>
            <w:tcW w:type="dxa" w:w="3860"/>
          </w:tcPr>
          <w:p>
            <w:pPr>
              <w:spacing w:after="0"/>
            </w:pPr>
            <w:r>
              <w:rPr>
                <w:rFonts w:ascii="Calibri" w:hAnsi="Calibri"/>
                <w:b w:val="0"/>
                <w:i w:val="0"/>
                <w:color w:val="14263D"/>
                <w:sz w:val="17"/>
              </w:rPr>
              <w:t>AI answers and embeddings</w:t>
            </w:r>
          </w:p>
        </w:tc>
        <w:tc>
          <w:tcPr>
            <w:tcW w:type="dxa" w:w="3300"/>
          </w:tcPr>
          <w:p>
            <w:pPr>
              <w:spacing w:after="0"/>
            </w:pPr>
            <w:r>
              <w:rPr>
                <w:rFonts w:ascii="Calibri" w:hAnsi="Calibri"/>
                <w:b w:val="0"/>
                <w:i w:val="0"/>
                <w:color w:val="14263D"/>
                <w:sz w:val="17"/>
              </w:rPr>
              <w:t>Requires API credit, processor configuration and production data controls</w:t>
            </w:r>
          </w:p>
        </w:tc>
      </w:tr>
      <w:tr>
        <w:tc>
          <w:tcPr>
            <w:tcW w:type="dxa" w:w="2200"/>
            <w:shd w:fill="FCE9E0"/>
          </w:tcPr>
          <w:p>
            <w:pPr>
              <w:spacing w:after="0"/>
              <w:jc w:val="center"/>
            </w:pPr>
            <w:r>
              <w:rPr>
                <w:rFonts w:ascii="Calibri" w:hAnsi="Calibri"/>
                <w:b/>
                <w:i w:val="0"/>
                <w:color w:val="8A6200"/>
                <w:sz w:val="16"/>
              </w:rPr>
              <w:t>CONFIGURE</w:t>
            </w:r>
          </w:p>
        </w:tc>
        <w:tc>
          <w:tcPr>
            <w:tcW w:type="dxa" w:w="3860"/>
          </w:tcPr>
          <w:p>
            <w:pPr>
              <w:spacing w:after="0"/>
            </w:pPr>
            <w:r>
              <w:rPr>
                <w:rFonts w:ascii="Calibri" w:hAnsi="Calibri"/>
                <w:b w:val="0"/>
                <w:i w:val="0"/>
                <w:color w:val="14263D"/>
                <w:sz w:val="17"/>
              </w:rPr>
              <w:t>Outbound invitation and overdue reminder email</w:t>
            </w:r>
          </w:p>
        </w:tc>
        <w:tc>
          <w:tcPr>
            <w:tcW w:type="dxa" w:w="3300"/>
          </w:tcPr>
          <w:p>
            <w:pPr>
              <w:spacing w:after="0"/>
            </w:pPr>
            <w:r>
              <w:rPr>
                <w:rFonts w:ascii="Calibri" w:hAnsi="Calibri"/>
                <w:b w:val="0"/>
                <w:i w:val="0"/>
                <w:color w:val="14263D"/>
                <w:sz w:val="17"/>
              </w:rPr>
              <w:t>Requires verified sending domain and Resend configuration</w:t>
            </w:r>
          </w:p>
        </w:tc>
      </w:tr>
      <w:tr>
        <w:tc>
          <w:tcPr>
            <w:tcW w:type="dxa" w:w="2200"/>
            <w:shd w:fill="FCE9E0"/>
          </w:tcPr>
          <w:p>
            <w:pPr>
              <w:spacing w:after="0"/>
              <w:jc w:val="center"/>
            </w:pPr>
            <w:r>
              <w:rPr>
                <w:rFonts w:ascii="Calibri" w:hAnsi="Calibri"/>
                <w:b/>
                <w:i w:val="0"/>
                <w:color w:val="8A6200"/>
                <w:sz w:val="16"/>
              </w:rPr>
              <w:t>CONFIGURE</w:t>
            </w:r>
          </w:p>
        </w:tc>
        <w:tc>
          <w:tcPr>
            <w:tcW w:type="dxa" w:w="3860"/>
          </w:tcPr>
          <w:p>
            <w:pPr>
              <w:spacing w:after="0"/>
            </w:pPr>
            <w:r>
              <w:rPr>
                <w:rFonts w:ascii="Calibri" w:hAnsi="Calibri"/>
                <w:b w:val="0"/>
                <w:i w:val="0"/>
                <w:color w:val="14263D"/>
                <w:sz w:val="17"/>
              </w:rPr>
              <w:t>SharePoint / Google Drive delivery and qualified e-signature</w:t>
            </w:r>
          </w:p>
        </w:tc>
        <w:tc>
          <w:tcPr>
            <w:tcW w:type="dxa" w:w="3300"/>
          </w:tcPr>
          <w:p>
            <w:pPr>
              <w:spacing w:after="0"/>
            </w:pPr>
            <w:r>
              <w:rPr>
                <w:rFonts w:ascii="Calibri" w:hAnsi="Calibri"/>
                <w:b w:val="0"/>
                <w:i w:val="0"/>
                <w:color w:val="14263D"/>
                <w:sz w:val="17"/>
              </w:rPr>
              <w:t>Sell only after connector and signing-provider acceptance tests</w:t>
            </w:r>
          </w:p>
        </w:tc>
      </w:tr>
      <w:tr>
        <w:tc>
          <w:tcPr>
            <w:tcW w:type="dxa" w:w="2200"/>
            <w:shd w:fill="F8E8E6"/>
          </w:tcPr>
          <w:p>
            <w:pPr>
              <w:spacing w:after="0"/>
              <w:jc w:val="center"/>
            </w:pPr>
            <w:r>
              <w:rPr>
                <w:rFonts w:ascii="Calibri" w:hAnsi="Calibri"/>
                <w:b/>
                <w:i w:val="0"/>
                <w:color w:val="A33B2E"/>
                <w:sz w:val="16"/>
              </w:rPr>
              <w:t>RELEASE GATE</w:t>
            </w:r>
          </w:p>
        </w:tc>
        <w:tc>
          <w:tcPr>
            <w:tcW w:type="dxa" w:w="3860"/>
          </w:tcPr>
          <w:p>
            <w:pPr>
              <w:spacing w:after="0"/>
            </w:pPr>
            <w:r>
              <w:rPr>
                <w:rFonts w:ascii="Calibri" w:hAnsi="Calibri"/>
                <w:b w:val="0"/>
                <w:i w:val="0"/>
                <w:color w:val="14263D"/>
                <w:sz w:val="17"/>
              </w:rPr>
              <w:t>Malware scan, pen test, restore exercise, load test and production monitoring</w:t>
            </w:r>
          </w:p>
        </w:tc>
        <w:tc>
          <w:tcPr>
            <w:tcW w:type="dxa" w:w="3300"/>
          </w:tcPr>
          <w:p>
            <w:pPr>
              <w:spacing w:after="0"/>
            </w:pPr>
            <w:r>
              <w:rPr>
                <w:rFonts w:ascii="Calibri" w:hAnsi="Calibri"/>
                <w:b w:val="0"/>
                <w:i w:val="0"/>
                <w:color w:val="14263D"/>
                <w:sz w:val="17"/>
              </w:rPr>
              <w:t>Do not claim enterprise readiness before evidence is complete</w:t>
            </w:r>
          </w:p>
        </w:tc>
      </w:tr>
    </w:tbl>
    <w:p>
      <w:pPr>
        <w:pStyle w:val="SmallNote"/>
        <w:spacing w:before="120"/>
      </w:pPr>
      <w:r>
        <w:t>Recommended public phrasing: 'built for secure, role-based engineering document control' until independent security and operational acceptance evidence is available.</w:t>
      </w:r>
    </w:p>
    <w:p>
      <w:r>
        <w:br w:type="page"/>
      </w:r>
    </w:p>
    <w:p>
      <w:pPr>
        <w:pStyle w:val="Kicker"/>
      </w:pPr>
      <w:r>
        <w:t>TRUST STORY AND DIFFERENTIATION</w:t>
      </w:r>
    </w:p>
    <w:p>
      <w:pPr>
        <w:keepNext/>
        <w:spacing w:before="0" w:after="160"/>
        <w:jc w:val="left"/>
      </w:pPr>
      <w:r>
        <w:rPr>
          <w:rFonts w:ascii="Calibri" w:hAnsi="Calibri"/>
          <w:b/>
          <w:i w:val="0"/>
          <w:color w:val="082345"/>
          <w:sz w:val="44"/>
        </w:rPr>
        <w:t>Sell the control model, not only the feature list</w:t>
      </w:r>
    </w:p>
    <w:p>
      <w:pPr>
        <w:spacing w:after="240" w:line="293" w:lineRule="auto"/>
        <w:jc w:val="left"/>
      </w:pPr>
      <w:r>
        <w:rPr>
          <w:rFonts w:ascii="Calibri" w:hAnsi="Calibri"/>
          <w:b w:val="0"/>
          <w:i w:val="0"/>
          <w:color w:val="5E6B7A"/>
          <w:sz w:val="23"/>
        </w:rPr>
        <w:t>The strongest competitive position is the combination of disciplined project delivery and evidence-backed intelligence in a product that remains understandable to engineers, DCCs and managers.</w:t>
      </w:r>
    </w:p>
    <w:tbl>
      <w:tblPr>
        <w:tblW w:type="dxa" w:w="9360"/>
        <w:jc w:val="left"/>
        <w:tblLayout w:type="fixed"/>
        <w:tblLook w:firstColumn="1" w:firstRow="1" w:lastColumn="0" w:lastRow="0" w:noHBand="0" w:noVBand="1" w:val="04A0"/>
        <w:tblInd w:w="120" w:type="dxa"/>
        <w:tblBorders>
          <w:top w:val="single" w:sz="5" w:color="DDE5EC"/>
          <w:left w:val="single" w:sz="5" w:color="DDE5EC"/>
          <w:bottom w:val="single" w:sz="5" w:color="DDE5EC"/>
          <w:right w:val="single" w:sz="5" w:color="DDE5EC"/>
          <w:insideH w:val="single" w:sz="5" w:color="DDE5EC"/>
          <w:insideV w:val="single" w:sz="5" w:color="DDE5EC"/>
        </w:tblBorders>
      </w:tblPr>
      <w:tblGrid>
        <w:gridCol w:w="1900"/>
        <w:gridCol w:w="4200"/>
        <w:gridCol w:w="3260"/>
      </w:tblGrid>
      <w:tr>
        <w:trPr>
          <w:tblHeader w:val="true"/>
        </w:trPr>
        <w:tc>
          <w:tcPr>
            <w:tcW w:type="dxa" w:w="1900"/>
            <w:tcMar>
              <w:top w:w="80" w:type="dxa"/>
              <w:start w:w="120" w:type="dxa"/>
              <w:bottom w:w="80" w:type="dxa"/>
              <w:end w:w="120" w:type="dxa"/>
            </w:tcMar>
            <w:shd w:fill="082345"/>
          </w:tcPr>
          <w:p>
            <w:pPr>
              <w:spacing w:after="0"/>
            </w:pPr>
            <w:r>
              <w:rPr>
                <w:rFonts w:ascii="Calibri" w:hAnsi="Calibri"/>
                <w:b/>
                <w:i w:val="0"/>
                <w:color w:val="FFFFFF"/>
                <w:sz w:val="17"/>
              </w:rPr>
              <w:t>Trust pillar</w:t>
            </w:r>
          </w:p>
        </w:tc>
        <w:tc>
          <w:tcPr>
            <w:tcW w:type="dxa" w:w="4200"/>
            <w:tcMar>
              <w:top w:w="80" w:type="dxa"/>
              <w:start w:w="120" w:type="dxa"/>
              <w:bottom w:w="80" w:type="dxa"/>
              <w:end w:w="120" w:type="dxa"/>
            </w:tcMar>
            <w:shd w:fill="082345"/>
          </w:tcPr>
          <w:p>
            <w:pPr>
              <w:spacing w:after="0"/>
            </w:pPr>
            <w:r>
              <w:rPr>
                <w:rFonts w:ascii="Calibri" w:hAnsi="Calibri"/>
                <w:b/>
                <w:i w:val="0"/>
                <w:color w:val="FFFFFF"/>
                <w:sz w:val="17"/>
              </w:rPr>
              <w:t>Buyer-facing message</w:t>
            </w:r>
          </w:p>
        </w:tc>
        <w:tc>
          <w:tcPr>
            <w:tcW w:type="dxa" w:w="3260"/>
            <w:tcMar>
              <w:top w:w="80" w:type="dxa"/>
              <w:start w:w="120" w:type="dxa"/>
              <w:bottom w:w="80" w:type="dxa"/>
              <w:end w:w="120" w:type="dxa"/>
            </w:tcMar>
            <w:shd w:fill="082345"/>
          </w:tcPr>
          <w:p>
            <w:pPr>
              <w:spacing w:after="0"/>
            </w:pPr>
            <w:r>
              <w:rPr>
                <w:rFonts w:ascii="Calibri" w:hAnsi="Calibri"/>
                <w:b/>
                <w:i w:val="0"/>
                <w:color w:val="FFFFFF"/>
                <w:sz w:val="17"/>
              </w:rPr>
              <w:t>Proof required</w:t>
            </w:r>
          </w:p>
        </w:tc>
      </w:tr>
      <w:tr>
        <w:tc>
          <w:tcPr>
            <w:tcW w:type="dxa" w:w="1900"/>
            <w:shd w:fill="FFFFFF"/>
          </w:tcPr>
          <w:p>
            <w:pPr>
              <w:spacing w:after="0"/>
            </w:pPr>
            <w:r>
              <w:rPr>
                <w:rFonts w:ascii="Calibri" w:hAnsi="Calibri"/>
                <w:b/>
                <w:i w:val="0"/>
                <w:color w:val="082345"/>
                <w:sz w:val="17"/>
              </w:rPr>
              <w:t>Tenant isolation</w:t>
            </w:r>
          </w:p>
        </w:tc>
        <w:tc>
          <w:tcPr>
            <w:tcW w:type="dxa" w:w="4200"/>
            <w:shd w:fill="FFFFFF"/>
          </w:tcPr>
          <w:p>
            <w:pPr>
              <w:spacing w:after="0"/>
            </w:pPr>
            <w:r>
              <w:rPr>
                <w:rFonts w:ascii="Calibri" w:hAnsi="Calibri"/>
                <w:b w:val="0"/>
                <w:i w:val="0"/>
                <w:color w:val="14263D"/>
                <w:sz w:val="17"/>
              </w:rPr>
              <w:t>Each organisation and project is separated by policy and server-side authorisation</w:t>
            </w:r>
          </w:p>
        </w:tc>
        <w:tc>
          <w:tcPr>
            <w:tcW w:type="dxa" w:w="3260"/>
            <w:shd w:fill="FFFFFF"/>
          </w:tcPr>
          <w:p>
            <w:pPr>
              <w:spacing w:after="0"/>
            </w:pPr>
            <w:r>
              <w:rPr>
                <w:rFonts w:ascii="Calibri" w:hAnsi="Calibri"/>
                <w:b w:val="0"/>
                <w:i w:val="0"/>
                <w:color w:val="14263D"/>
                <w:sz w:val="17"/>
              </w:rPr>
              <w:t>Automated two-tenant RLS and IDOR test evidence</w:t>
            </w:r>
          </w:p>
        </w:tc>
      </w:tr>
      <w:tr>
        <w:tc>
          <w:tcPr>
            <w:tcW w:type="dxa" w:w="1900"/>
            <w:shd w:fill="F4F7FA"/>
          </w:tcPr>
          <w:p>
            <w:pPr>
              <w:spacing w:after="0"/>
            </w:pPr>
            <w:r>
              <w:rPr>
                <w:rFonts w:ascii="Calibri" w:hAnsi="Calibri"/>
                <w:b/>
                <w:i w:val="0"/>
                <w:color w:val="082345"/>
                <w:sz w:val="17"/>
              </w:rPr>
              <w:t>Least privilege</w:t>
            </w:r>
          </w:p>
        </w:tc>
        <w:tc>
          <w:tcPr>
            <w:tcW w:type="dxa" w:w="4200"/>
            <w:shd w:fill="F4F7FA"/>
          </w:tcPr>
          <w:p>
            <w:pPr>
              <w:spacing w:after="0"/>
            </w:pPr>
            <w:r>
              <w:rPr>
                <w:rFonts w:ascii="Calibri" w:hAnsi="Calibri"/>
                <w:b w:val="0"/>
                <w:i w:val="0"/>
                <w:color w:val="14263D"/>
                <w:sz w:val="17"/>
              </w:rPr>
              <w:t>Each role sees only the controls needed for its responsibility</w:t>
            </w:r>
          </w:p>
        </w:tc>
        <w:tc>
          <w:tcPr>
            <w:tcW w:type="dxa" w:w="3260"/>
            <w:shd w:fill="F4F7FA"/>
          </w:tcPr>
          <w:p>
            <w:pPr>
              <w:spacing w:after="0"/>
            </w:pPr>
            <w:r>
              <w:rPr>
                <w:rFonts w:ascii="Calibri" w:hAnsi="Calibri"/>
                <w:b w:val="0"/>
                <w:i w:val="0"/>
                <w:color w:val="14263D"/>
                <w:sz w:val="17"/>
              </w:rPr>
              <w:t>Role matrix, permission tests and denied-action audit events</w:t>
            </w:r>
          </w:p>
        </w:tc>
      </w:tr>
      <w:tr>
        <w:tc>
          <w:tcPr>
            <w:tcW w:type="dxa" w:w="1900"/>
            <w:shd w:fill="FFFFFF"/>
          </w:tcPr>
          <w:p>
            <w:pPr>
              <w:spacing w:after="0"/>
            </w:pPr>
            <w:r>
              <w:rPr>
                <w:rFonts w:ascii="Calibri" w:hAnsi="Calibri"/>
                <w:b/>
                <w:i w:val="0"/>
                <w:color w:val="082345"/>
                <w:sz w:val="17"/>
              </w:rPr>
              <w:t>Secure file access</w:t>
            </w:r>
          </w:p>
        </w:tc>
        <w:tc>
          <w:tcPr>
            <w:tcW w:type="dxa" w:w="4200"/>
            <w:shd w:fill="FFFFFF"/>
          </w:tcPr>
          <w:p>
            <w:pPr>
              <w:spacing w:after="0"/>
            </w:pPr>
            <w:r>
              <w:rPr>
                <w:rFonts w:ascii="Calibri" w:hAnsi="Calibri"/>
                <w:b w:val="0"/>
                <w:i w:val="0"/>
                <w:color w:val="14263D"/>
                <w:sz w:val="17"/>
              </w:rPr>
              <w:t>Files use short-lived authorised access rather than permanent public links</w:t>
            </w:r>
          </w:p>
        </w:tc>
        <w:tc>
          <w:tcPr>
            <w:tcW w:type="dxa" w:w="3260"/>
            <w:shd w:fill="FFFFFF"/>
          </w:tcPr>
          <w:p>
            <w:pPr>
              <w:spacing w:after="0"/>
            </w:pPr>
            <w:r>
              <w:rPr>
                <w:rFonts w:ascii="Calibri" w:hAnsi="Calibri"/>
                <w:b w:val="0"/>
                <w:i w:val="0"/>
                <w:color w:val="14263D"/>
                <w:sz w:val="17"/>
              </w:rPr>
              <w:t>Signed URL tests, private bucket policies and audit events</w:t>
            </w:r>
          </w:p>
        </w:tc>
      </w:tr>
      <w:tr>
        <w:tc>
          <w:tcPr>
            <w:tcW w:type="dxa" w:w="1900"/>
            <w:shd w:fill="F4F7FA"/>
          </w:tcPr>
          <w:p>
            <w:pPr>
              <w:spacing w:after="0"/>
            </w:pPr>
            <w:r>
              <w:rPr>
                <w:rFonts w:ascii="Calibri" w:hAnsi="Calibri"/>
                <w:b/>
                <w:i w:val="0"/>
                <w:color w:val="082345"/>
                <w:sz w:val="17"/>
              </w:rPr>
              <w:t>Traceability</w:t>
            </w:r>
          </w:p>
        </w:tc>
        <w:tc>
          <w:tcPr>
            <w:tcW w:type="dxa" w:w="4200"/>
            <w:shd w:fill="F4F7FA"/>
          </w:tcPr>
          <w:p>
            <w:pPr>
              <w:spacing w:after="0"/>
            </w:pPr>
            <w:r>
              <w:rPr>
                <w:rFonts w:ascii="Calibri" w:hAnsi="Calibri"/>
                <w:b w:val="0"/>
                <w:i w:val="0"/>
                <w:color w:val="14263D"/>
                <w:sz w:val="17"/>
              </w:rPr>
              <w:t>Uploads, downloads, edits, reviews, transmissions and questions create an audit trail</w:t>
            </w:r>
          </w:p>
        </w:tc>
        <w:tc>
          <w:tcPr>
            <w:tcW w:type="dxa" w:w="3260"/>
            <w:shd w:fill="F4F7FA"/>
          </w:tcPr>
          <w:p>
            <w:pPr>
              <w:spacing w:after="0"/>
            </w:pPr>
            <w:r>
              <w:rPr>
                <w:rFonts w:ascii="Calibri" w:hAnsi="Calibri"/>
                <w:b w:val="0"/>
                <w:i w:val="0"/>
                <w:color w:val="14263D"/>
                <w:sz w:val="17"/>
              </w:rPr>
              <w:t>Append-only audit verification and export review</w:t>
            </w:r>
          </w:p>
        </w:tc>
      </w:tr>
      <w:tr>
        <w:tc>
          <w:tcPr>
            <w:tcW w:type="dxa" w:w="1900"/>
            <w:shd w:fill="FFFFFF"/>
          </w:tcPr>
          <w:p>
            <w:pPr>
              <w:spacing w:after="0"/>
            </w:pPr>
            <w:r>
              <w:rPr>
                <w:rFonts w:ascii="Calibri" w:hAnsi="Calibri"/>
                <w:b/>
                <w:i w:val="0"/>
                <w:color w:val="082345"/>
                <w:sz w:val="17"/>
              </w:rPr>
              <w:t>Responsible AI</w:t>
            </w:r>
          </w:p>
        </w:tc>
        <w:tc>
          <w:tcPr>
            <w:tcW w:type="dxa" w:w="4200"/>
            <w:shd w:fill="FFFFFF"/>
          </w:tcPr>
          <w:p>
            <w:pPr>
              <w:spacing w:after="0"/>
            </w:pPr>
            <w:r>
              <w:rPr>
                <w:rFonts w:ascii="Calibri" w:hAnsi="Calibri"/>
                <w:b w:val="0"/>
                <w:i w:val="0"/>
                <w:color w:val="14263D"/>
                <w:sz w:val="17"/>
              </w:rPr>
              <w:t>Customer documents are used only to answer authorised project questions, not for model training</w:t>
            </w:r>
          </w:p>
        </w:tc>
        <w:tc>
          <w:tcPr>
            <w:tcW w:type="dxa" w:w="3260"/>
            <w:shd w:fill="FFFFFF"/>
          </w:tcPr>
          <w:p>
            <w:pPr>
              <w:spacing w:after="0"/>
            </w:pPr>
            <w:r>
              <w:rPr>
                <w:rFonts w:ascii="Calibri" w:hAnsi="Calibri"/>
                <w:b w:val="0"/>
                <w:i w:val="0"/>
                <w:color w:val="14263D"/>
                <w:sz w:val="17"/>
              </w:rPr>
              <w:t>Provider agreement, storage-off configuration and data-flow review</w:t>
            </w:r>
          </w:p>
        </w:tc>
      </w:tr>
      <w:tr>
        <w:tc>
          <w:tcPr>
            <w:tcW w:type="dxa" w:w="1900"/>
            <w:shd w:fill="F4F7FA"/>
          </w:tcPr>
          <w:p>
            <w:pPr>
              <w:spacing w:after="0"/>
            </w:pPr>
            <w:r>
              <w:rPr>
                <w:rFonts w:ascii="Calibri" w:hAnsi="Calibri"/>
                <w:b/>
                <w:i w:val="0"/>
                <w:color w:val="082345"/>
                <w:sz w:val="17"/>
              </w:rPr>
              <w:t>Resilience</w:t>
            </w:r>
          </w:p>
        </w:tc>
        <w:tc>
          <w:tcPr>
            <w:tcW w:type="dxa" w:w="4200"/>
            <w:shd w:fill="F4F7FA"/>
          </w:tcPr>
          <w:p>
            <w:pPr>
              <w:spacing w:after="0"/>
            </w:pPr>
            <w:r>
              <w:rPr>
                <w:rFonts w:ascii="Calibri" w:hAnsi="Calibri"/>
                <w:b w:val="0"/>
                <w:i w:val="0"/>
                <w:color w:val="14263D"/>
                <w:sz w:val="17"/>
              </w:rPr>
              <w:t>Project records can be recovered and exported</w:t>
            </w:r>
          </w:p>
        </w:tc>
        <w:tc>
          <w:tcPr>
            <w:tcW w:type="dxa" w:w="3260"/>
            <w:shd w:fill="F4F7FA"/>
          </w:tcPr>
          <w:p>
            <w:pPr>
              <w:spacing w:after="0"/>
            </w:pPr>
            <w:r>
              <w:rPr>
                <w:rFonts w:ascii="Calibri" w:hAnsi="Calibri"/>
                <w:b w:val="0"/>
                <w:i w:val="0"/>
                <w:color w:val="14263D"/>
                <w:sz w:val="17"/>
              </w:rPr>
              <w:t>Restore exercise, backup evidence and tenant export/deletion runbook</w:t>
            </w:r>
          </w:p>
        </w:tc>
      </w:tr>
    </w:tbl>
    <w:p>
      <w:pPr>
        <w:spacing w:after="60"/>
      </w:pPr>
    </w:p>
    <w:p>
      <w:pPr>
        <w:spacing w:after="120"/>
      </w:pPr>
      <w:r>
        <w:rPr>
          <w:rFonts w:ascii="Calibri" w:hAnsi="Calibri"/>
          <w:b/>
          <w:i w:val="0"/>
          <w:color w:val="14263D"/>
          <w:sz w:val="22"/>
        </w:rPr>
        <w:t>Competitive distinctions</w:t>
      </w:r>
      <w:r>
        <w:rPr>
          <w:rFonts w:ascii="Calibri" w:hAnsi="Calibri"/>
          <w:b w:val="0"/>
          <w:i w:val="0"/>
          <w:color w:val="14263D"/>
          <w:sz w:val="22"/>
        </w:rPr>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480"/>
        <w:gridCol w:w="8880"/>
      </w:tblGrid>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Versus shared drives: </w:t>
            </w:r>
            <w:r>
              <w:rPr>
                <w:rFonts w:ascii="Calibri" w:hAnsi="Calibri"/>
                <w:b w:val="0"/>
                <w:i w:val="0"/>
                <w:color w:val="14263D"/>
                <w:sz w:val="18"/>
              </w:rPr>
              <w:t>EngiCite knows the document number, discipline, planned date, revision, acceptance state and transmission history.</w:t>
            </w:r>
          </w:p>
        </w:tc>
      </w:tr>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Versus generic DMS platforms: </w:t>
            </w:r>
            <w:r>
              <w:rPr>
                <w:rFonts w:ascii="Calibri" w:hAnsi="Calibri"/>
                <w:b w:val="0"/>
                <w:i w:val="0"/>
                <w:color w:val="14263D"/>
                <w:sz w:val="18"/>
              </w:rPr>
              <w:t>the interface follows engineering delivery language and DCC operating practice from the first screen.</w:t>
            </w:r>
          </w:p>
        </w:tc>
      </w:tr>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Versus standalone AI search: </w:t>
            </w:r>
            <w:r>
              <w:rPr>
                <w:rFonts w:ascii="Calibri" w:hAnsi="Calibri"/>
                <w:b w:val="0"/>
                <w:i w:val="0"/>
                <w:color w:val="14263D"/>
                <w:sz w:val="18"/>
              </w:rPr>
              <w:t>answers sit on top of a controlled register and are expected to cite the accepted project source.</w:t>
            </w:r>
          </w:p>
        </w:tc>
      </w:tr>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Versus spreadsheet MDRs: </w:t>
            </w:r>
            <w:r>
              <w:rPr>
                <w:rFonts w:ascii="Calibri" w:hAnsi="Calibri"/>
                <w:b w:val="0"/>
                <w:i w:val="0"/>
                <w:color w:val="14263D"/>
                <w:sz w:val="18"/>
              </w:rPr>
              <w:t>the register becomes an active workflow with responsibility, reminders, progress and controlled issue.</w:t>
            </w:r>
          </w:p>
        </w:tc>
      </w:tr>
    </w:tbl>
    <w:p>
      <w:pPr>
        <w:spacing w:after="0"/>
      </w:pPr>
    </w:p>
    <w:p>
      <w:r>
        <w:br w:type="page"/>
      </w:r>
    </w:p>
    <w:p>
      <w:pPr>
        <w:pStyle w:val="Kicker"/>
      </w:pPr>
      <w:r>
        <w:t>MESSAGING ARCHITECTURE</w:t>
      </w:r>
    </w:p>
    <w:p>
      <w:pPr>
        <w:keepNext/>
        <w:spacing w:before="0" w:after="160"/>
        <w:jc w:val="left"/>
      </w:pPr>
      <w:r>
        <w:rPr>
          <w:rFonts w:ascii="Calibri" w:hAnsi="Calibri"/>
          <w:b/>
          <w:i w:val="0"/>
          <w:color w:val="082345"/>
          <w:sz w:val="44"/>
        </w:rPr>
        <w:t>One brand promise, three buyer conversations</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9360"/>
      </w:tblGrid>
      <w:tr>
        <w:tc>
          <w:tcPr>
            <w:tcW w:type="dxa" w:w="9360"/>
            <w:tcMar>
              <w:top w:w="220" w:type="dxa"/>
              <w:start w:w="260" w:type="dxa"/>
              <w:bottom w:w="220" w:type="dxa"/>
              <w:end w:w="260" w:type="dxa"/>
            </w:tcMar>
            <w:shd w:fill="082345"/>
          </w:tcPr>
          <w:p>
            <w:pPr>
              <w:spacing w:after="100"/>
            </w:pPr>
            <w:r>
              <w:rPr>
                <w:rFonts w:ascii="Calibri" w:hAnsi="Calibri"/>
                <w:b/>
                <w:i w:val="0"/>
                <w:color w:val="ED7138"/>
                <w:sz w:val="18"/>
              </w:rPr>
              <w:t>MASTER PROMISE</w:t>
            </w:r>
          </w:p>
          <w:p>
            <w:pPr>
              <w:spacing w:after="0" w:line="283" w:lineRule="auto"/>
            </w:pPr>
            <w:r>
              <w:rPr>
                <w:rFonts w:ascii="Calibri" w:hAnsi="Calibri"/>
                <w:b/>
                <w:i w:val="0"/>
                <w:color w:val="FFFFFF"/>
                <w:sz w:val="26"/>
              </w:rPr>
              <w:t>CONTROL EVERY DELIVERABLE. CITE EVERY DECISION.</w:t>
            </w:r>
          </w:p>
        </w:tc>
      </w:tr>
    </w:tbl>
    <w:p>
      <w:pPr>
        <w:spacing w:after="60"/>
      </w:pPr>
    </w:p>
    <w:tbl>
      <w:tblPr>
        <w:tblW w:type="dxa" w:w="9360"/>
        <w:jc w:val="left"/>
        <w:tblLayout w:type="fixed"/>
        <w:tblLook w:firstColumn="1" w:firstRow="1" w:lastColumn="0" w:lastRow="0" w:noHBand="0" w:noVBand="1" w:val="04A0"/>
        <w:tblInd w:w="120" w:type="dxa"/>
        <w:tblBorders>
          <w:top w:val="single" w:sz="5" w:color="DDE5EC"/>
          <w:left w:val="single" w:sz="5" w:color="DDE5EC"/>
          <w:bottom w:val="single" w:sz="5" w:color="DDE5EC"/>
          <w:right w:val="single" w:sz="5" w:color="DDE5EC"/>
          <w:insideH w:val="single" w:sz="5" w:color="DDE5EC"/>
          <w:insideV w:val="single" w:sz="5" w:color="DDE5EC"/>
        </w:tblBorders>
      </w:tblPr>
      <w:tblGrid>
        <w:gridCol w:w="1750"/>
        <w:gridCol w:w="4300"/>
        <w:gridCol w:w="3310"/>
      </w:tblGrid>
      <w:tr>
        <w:trPr>
          <w:tblHeader w:val="true"/>
        </w:trPr>
        <w:tc>
          <w:tcPr>
            <w:tcW w:type="dxa" w:w="1750"/>
            <w:tcMar>
              <w:top w:w="80" w:type="dxa"/>
              <w:start w:w="120" w:type="dxa"/>
              <w:bottom w:w="80" w:type="dxa"/>
              <w:end w:w="120" w:type="dxa"/>
            </w:tcMar>
            <w:shd w:fill="082345"/>
          </w:tcPr>
          <w:p>
            <w:pPr>
              <w:spacing w:after="0"/>
            </w:pPr>
            <w:r>
              <w:rPr>
                <w:rFonts w:ascii="Calibri" w:hAnsi="Calibri"/>
                <w:b/>
                <w:i w:val="0"/>
                <w:color w:val="FFFFFF"/>
                <w:sz w:val="17"/>
              </w:rPr>
              <w:t>Audience</w:t>
            </w:r>
          </w:p>
        </w:tc>
        <w:tc>
          <w:tcPr>
            <w:tcW w:type="dxa" w:w="4300"/>
            <w:tcMar>
              <w:top w:w="80" w:type="dxa"/>
              <w:start w:w="120" w:type="dxa"/>
              <w:bottom w:w="80" w:type="dxa"/>
              <w:end w:w="120" w:type="dxa"/>
            </w:tcMar>
            <w:shd w:fill="082345"/>
          </w:tcPr>
          <w:p>
            <w:pPr>
              <w:spacing w:after="0"/>
            </w:pPr>
            <w:r>
              <w:rPr>
                <w:rFonts w:ascii="Calibri" w:hAnsi="Calibri"/>
                <w:b/>
                <w:i w:val="0"/>
                <w:color w:val="FFFFFF"/>
                <w:sz w:val="17"/>
              </w:rPr>
              <w:t>Lead message</w:t>
            </w:r>
          </w:p>
        </w:tc>
        <w:tc>
          <w:tcPr>
            <w:tcW w:type="dxa" w:w="3310"/>
            <w:tcMar>
              <w:top w:w="80" w:type="dxa"/>
              <w:start w:w="120" w:type="dxa"/>
              <w:bottom w:w="80" w:type="dxa"/>
              <w:end w:w="120" w:type="dxa"/>
            </w:tcMar>
            <w:shd w:fill="082345"/>
          </w:tcPr>
          <w:p>
            <w:pPr>
              <w:spacing w:after="0"/>
            </w:pPr>
            <w:r>
              <w:rPr>
                <w:rFonts w:ascii="Calibri" w:hAnsi="Calibri"/>
                <w:b/>
                <w:i w:val="0"/>
                <w:color w:val="FFFFFF"/>
                <w:sz w:val="17"/>
              </w:rPr>
              <w:t>Proof point</w:t>
            </w:r>
          </w:p>
        </w:tc>
      </w:tr>
      <w:tr>
        <w:tc>
          <w:tcPr>
            <w:tcW w:type="dxa" w:w="1750"/>
            <w:shd w:fill="FFFFFF"/>
          </w:tcPr>
          <w:p>
            <w:pPr>
              <w:spacing w:after="0"/>
            </w:pPr>
            <w:r>
              <w:rPr>
                <w:rFonts w:ascii="Calibri" w:hAnsi="Calibri"/>
                <w:b/>
                <w:i w:val="0"/>
                <w:color w:val="082345"/>
                <w:sz w:val="17"/>
              </w:rPr>
              <w:t>Project leadership</w:t>
            </w:r>
          </w:p>
        </w:tc>
        <w:tc>
          <w:tcPr>
            <w:tcW w:type="dxa" w:w="4300"/>
            <w:shd w:fill="FFFFFF"/>
          </w:tcPr>
          <w:p>
            <w:pPr>
              <w:spacing w:after="0"/>
            </w:pPr>
            <w:r>
              <w:rPr>
                <w:rFonts w:ascii="Calibri" w:hAnsi="Calibri"/>
                <w:b w:val="0"/>
                <w:i w:val="0"/>
                <w:color w:val="14263D"/>
                <w:sz w:val="17"/>
              </w:rPr>
              <w:t>See delivery risk before it becomes a client escalation</w:t>
            </w:r>
          </w:p>
        </w:tc>
        <w:tc>
          <w:tcPr>
            <w:tcW w:type="dxa" w:w="3310"/>
            <w:shd w:fill="FFFFFF"/>
          </w:tcPr>
          <w:p>
            <w:pPr>
              <w:spacing w:after="0"/>
            </w:pPr>
            <w:r>
              <w:rPr>
                <w:rFonts w:ascii="Calibri" w:hAnsi="Calibri"/>
                <w:b w:val="0"/>
                <w:i w:val="0"/>
                <w:color w:val="14263D"/>
                <w:sz w:val="17"/>
              </w:rPr>
              <w:t>MDR-based progress, overdue work, weekly variance and look-ahead</w:t>
            </w:r>
          </w:p>
        </w:tc>
      </w:tr>
      <w:tr>
        <w:tc>
          <w:tcPr>
            <w:tcW w:type="dxa" w:w="1750"/>
            <w:shd w:fill="F4F7FA"/>
          </w:tcPr>
          <w:p>
            <w:pPr>
              <w:spacing w:after="0"/>
            </w:pPr>
            <w:r>
              <w:rPr>
                <w:rFonts w:ascii="Calibri" w:hAnsi="Calibri"/>
                <w:b/>
                <w:i w:val="0"/>
                <w:color w:val="082345"/>
                <w:sz w:val="17"/>
              </w:rPr>
              <w:t>Document control</w:t>
            </w:r>
          </w:p>
        </w:tc>
        <w:tc>
          <w:tcPr>
            <w:tcW w:type="dxa" w:w="4300"/>
            <w:shd w:fill="F4F7FA"/>
          </w:tcPr>
          <w:p>
            <w:pPr>
              <w:spacing w:after="0"/>
            </w:pPr>
            <w:r>
              <w:rPr>
                <w:rFonts w:ascii="Calibri" w:hAnsi="Calibri"/>
                <w:b w:val="0"/>
                <w:i w:val="0"/>
                <w:color w:val="14263D"/>
                <w:sz w:val="17"/>
              </w:rPr>
              <w:t>Run the register, reviews and transmissions from one controlled workspace</w:t>
            </w:r>
          </w:p>
        </w:tc>
        <w:tc>
          <w:tcPr>
            <w:tcW w:type="dxa" w:w="3310"/>
            <w:shd w:fill="F4F7FA"/>
          </w:tcPr>
          <w:p>
            <w:pPr>
              <w:spacing w:after="0"/>
            </w:pPr>
            <w:r>
              <w:rPr>
                <w:rFonts w:ascii="Calibri" w:hAnsi="Calibri"/>
                <w:b w:val="0"/>
                <w:i w:val="0"/>
                <w:color w:val="14263D"/>
                <w:sz w:val="17"/>
              </w:rPr>
              <w:t>Excel import, discipline assignments, review queue and frozen issue sets</w:t>
            </w:r>
          </w:p>
        </w:tc>
      </w:tr>
      <w:tr>
        <w:tc>
          <w:tcPr>
            <w:tcW w:type="dxa" w:w="1750"/>
            <w:shd w:fill="FFFFFF"/>
          </w:tcPr>
          <w:p>
            <w:pPr>
              <w:spacing w:after="0"/>
            </w:pPr>
            <w:r>
              <w:rPr>
                <w:rFonts w:ascii="Calibri" w:hAnsi="Calibri"/>
                <w:b/>
                <w:i w:val="0"/>
                <w:color w:val="082345"/>
                <w:sz w:val="17"/>
              </w:rPr>
              <w:t>Engineering teams</w:t>
            </w:r>
          </w:p>
        </w:tc>
        <w:tc>
          <w:tcPr>
            <w:tcW w:type="dxa" w:w="4300"/>
            <w:shd w:fill="FFFFFF"/>
          </w:tcPr>
          <w:p>
            <w:pPr>
              <w:spacing w:after="0"/>
            </w:pPr>
            <w:r>
              <w:rPr>
                <w:rFonts w:ascii="Calibri" w:hAnsi="Calibri"/>
                <w:b w:val="0"/>
                <w:i w:val="0"/>
                <w:color w:val="14263D"/>
                <w:sz w:val="17"/>
              </w:rPr>
              <w:t>Know exactly what is due and submit it without document-control guesswork</w:t>
            </w:r>
          </w:p>
        </w:tc>
        <w:tc>
          <w:tcPr>
            <w:tcW w:type="dxa" w:w="3310"/>
            <w:shd w:fill="FFFFFF"/>
          </w:tcPr>
          <w:p>
            <w:pPr>
              <w:spacing w:after="0"/>
            </w:pPr>
            <w:r>
              <w:rPr>
                <w:rFonts w:ascii="Calibri" w:hAnsi="Calibri"/>
                <w:b w:val="0"/>
                <w:i w:val="0"/>
                <w:color w:val="14263D"/>
                <w:sz w:val="17"/>
              </w:rPr>
              <w:t>My Deliverables, authorised discipline scope, revision upload and feedback</w:t>
            </w:r>
          </w:p>
        </w:tc>
      </w:tr>
      <w:tr>
        <w:tc>
          <w:tcPr>
            <w:tcW w:type="dxa" w:w="1750"/>
            <w:shd w:fill="F4F7FA"/>
          </w:tcPr>
          <w:p>
            <w:pPr>
              <w:spacing w:after="0"/>
            </w:pPr>
            <w:r>
              <w:rPr>
                <w:rFonts w:ascii="Calibri" w:hAnsi="Calibri"/>
                <w:b/>
                <w:i w:val="0"/>
                <w:color w:val="082345"/>
                <w:sz w:val="17"/>
              </w:rPr>
              <w:t>Information security</w:t>
            </w:r>
          </w:p>
        </w:tc>
        <w:tc>
          <w:tcPr>
            <w:tcW w:type="dxa" w:w="4300"/>
            <w:shd w:fill="F4F7FA"/>
          </w:tcPr>
          <w:p>
            <w:pPr>
              <w:spacing w:after="0"/>
            </w:pPr>
            <w:r>
              <w:rPr>
                <w:rFonts w:ascii="Calibri" w:hAnsi="Calibri"/>
                <w:b w:val="0"/>
                <w:i w:val="0"/>
                <w:color w:val="14263D"/>
                <w:sz w:val="17"/>
              </w:rPr>
              <w:t>Keep project records separated, authorised and auditable</w:t>
            </w:r>
          </w:p>
        </w:tc>
        <w:tc>
          <w:tcPr>
            <w:tcW w:type="dxa" w:w="3310"/>
            <w:shd w:fill="F4F7FA"/>
          </w:tcPr>
          <w:p>
            <w:pPr>
              <w:spacing w:after="0"/>
            </w:pPr>
            <w:r>
              <w:rPr>
                <w:rFonts w:ascii="Calibri" w:hAnsi="Calibri"/>
                <w:b w:val="0"/>
                <w:i w:val="0"/>
                <w:color w:val="14263D"/>
                <w:sz w:val="17"/>
              </w:rPr>
              <w:t>Tenant policies, signed access, audit events and server-side secrets</w:t>
            </w:r>
          </w:p>
        </w:tc>
      </w:tr>
      <w:tr>
        <w:tc>
          <w:tcPr>
            <w:tcW w:type="dxa" w:w="1750"/>
            <w:shd w:fill="FFFFFF"/>
          </w:tcPr>
          <w:p>
            <w:pPr>
              <w:spacing w:after="0"/>
            </w:pPr>
            <w:r>
              <w:rPr>
                <w:rFonts w:ascii="Calibri" w:hAnsi="Calibri"/>
                <w:b/>
                <w:i w:val="0"/>
                <w:color w:val="082345"/>
                <w:sz w:val="17"/>
              </w:rPr>
              <w:t>Knowledge users</w:t>
            </w:r>
          </w:p>
        </w:tc>
        <w:tc>
          <w:tcPr>
            <w:tcW w:type="dxa" w:w="4300"/>
            <w:shd w:fill="FFFFFF"/>
          </w:tcPr>
          <w:p>
            <w:pPr>
              <w:spacing w:after="0"/>
            </w:pPr>
            <w:r>
              <w:rPr>
                <w:rFonts w:ascii="Calibri" w:hAnsi="Calibri"/>
                <w:b w:val="0"/>
                <w:i w:val="0"/>
                <w:color w:val="14263D"/>
                <w:sz w:val="17"/>
              </w:rPr>
              <w:t>Find the answer and open the proof</w:t>
            </w:r>
          </w:p>
        </w:tc>
        <w:tc>
          <w:tcPr>
            <w:tcW w:type="dxa" w:w="3310"/>
            <w:shd w:fill="FFFFFF"/>
          </w:tcPr>
          <w:p>
            <w:pPr>
              <w:spacing w:after="0"/>
            </w:pPr>
            <w:r>
              <w:rPr>
                <w:rFonts w:ascii="Calibri" w:hAnsi="Calibri"/>
                <w:b w:val="0"/>
                <w:i w:val="0"/>
                <w:color w:val="14263D"/>
                <w:sz w:val="17"/>
              </w:rPr>
              <w:t>Hybrid retrieval and document/revision/page citations</w:t>
            </w:r>
          </w:p>
        </w:tc>
      </w:tr>
    </w:tbl>
    <w:p>
      <w:pPr>
        <w:spacing w:after="60"/>
      </w:pPr>
    </w:p>
    <w:p>
      <w:pPr>
        <w:spacing w:after="120"/>
      </w:pPr>
      <w:r>
        <w:rPr>
          <w:rFonts w:ascii="Calibri" w:hAnsi="Calibri"/>
          <w:b/>
          <w:i w:val="0"/>
          <w:color w:val="14263D"/>
          <w:sz w:val="22"/>
        </w:rPr>
        <w:t>Approved short-form copy</w:t>
      </w:r>
      <w:r>
        <w:rPr>
          <w:rFonts w:ascii="Calibri" w:hAnsi="Calibri"/>
          <w:b w:val="0"/>
          <w:i w:val="0"/>
          <w:color w:val="14263D"/>
          <w:sz w:val="22"/>
        </w:rPr>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480"/>
        <w:gridCol w:w="8880"/>
      </w:tblGrid>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Homepage one-liner: </w:t>
            </w:r>
            <w:r>
              <w:rPr>
                <w:rFonts w:ascii="Calibri" w:hAnsi="Calibri"/>
                <w:b w:val="0"/>
                <w:i w:val="0"/>
                <w:color w:val="14263D"/>
                <w:sz w:val="18"/>
              </w:rPr>
              <w:t>Engineering document control, project delivery visibility and evidence-backed answers in one secure workspace.</w:t>
            </w:r>
          </w:p>
        </w:tc>
      </w:tr>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30-second pitch: </w:t>
            </w:r>
            <w:r>
              <w:rPr>
                <w:rFonts w:ascii="Calibri" w:hAnsi="Calibri"/>
                <w:b w:val="0"/>
                <w:i w:val="0"/>
                <w:color w:val="14263D"/>
                <w:sz w:val="18"/>
              </w:rPr>
              <w:t>EngiCite turns the MDR into a live delivery system. DCCs organise and control the register, engineers submit against assigned disciplines, managers see progress and risk, and every issued record remains traceable.</w:t>
            </w:r>
          </w:p>
        </w:tc>
      </w:tr>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Demo close: </w:t>
            </w:r>
            <w:r>
              <w:rPr>
                <w:rFonts w:ascii="Calibri" w:hAnsi="Calibri"/>
                <w:b w:val="0"/>
                <w:i w:val="0"/>
                <w:color w:val="14263D"/>
                <w:sz w:val="18"/>
              </w:rPr>
              <w:t>From the first planned deliverable to the final client transmittal, EngiCite keeps the responsibility, revision and evidence connected.</w:t>
            </w:r>
          </w:p>
        </w:tc>
      </w:tr>
    </w:tbl>
    <w:p>
      <w:pPr>
        <w:spacing w:after="0"/>
      </w:pPr>
    </w:p>
    <w:p>
      <w:r>
        <w:br w:type="page"/>
      </w:r>
    </w:p>
    <w:p>
      <w:pPr>
        <w:pStyle w:val="Kicker"/>
      </w:pPr>
      <w:r>
        <w:t>COMMERCIAL DEMONSTRATION</w:t>
      </w:r>
    </w:p>
    <w:p>
      <w:pPr>
        <w:keepNext/>
        <w:spacing w:before="0" w:after="160"/>
        <w:jc w:val="left"/>
      </w:pPr>
      <w:r>
        <w:rPr>
          <w:rFonts w:ascii="Calibri" w:hAnsi="Calibri"/>
          <w:b/>
          <w:i w:val="0"/>
          <w:color w:val="082345"/>
          <w:sz w:val="44"/>
        </w:rPr>
        <w:t>A 12-minute demo that follows one deliverable</w:t>
      </w:r>
    </w:p>
    <w:p>
      <w:pPr>
        <w:spacing w:after="240" w:line="293" w:lineRule="auto"/>
        <w:jc w:val="left"/>
      </w:pPr>
      <w:r>
        <w:rPr>
          <w:rFonts w:ascii="Calibri" w:hAnsi="Calibri"/>
          <w:b w:val="0"/>
          <w:i w:val="0"/>
          <w:color w:val="5E6B7A"/>
          <w:sz w:val="23"/>
        </w:rPr>
        <w:t>Avoid touring every menu. Tell one end-to-end story that makes the role separation and traceability obvious.</w:t>
      </w:r>
    </w:p>
    <w:tbl>
      <w:tblPr>
        <w:tblW w:type="dxa" w:w="9360"/>
        <w:jc w:val="left"/>
        <w:tblLayout w:type="fixed"/>
        <w:tblLook w:firstColumn="1" w:firstRow="1" w:lastColumn="0" w:lastRow="0" w:noHBand="0" w:noVBand="1" w:val="04A0"/>
        <w:tblInd w:w="120" w:type="dxa"/>
        <w:tblBorders>
          <w:top w:val="single" w:sz="5" w:color="DDE5EC"/>
          <w:left w:val="single" w:sz="5" w:color="DDE5EC"/>
          <w:bottom w:val="single" w:sz="5" w:color="DDE5EC"/>
          <w:right w:val="single" w:sz="5" w:color="DDE5EC"/>
          <w:insideH w:val="single" w:sz="5" w:color="DDE5EC"/>
          <w:insideV w:val="single" w:sz="5" w:color="DDE5EC"/>
        </w:tblBorders>
      </w:tblPr>
      <w:tblGrid>
        <w:gridCol w:w="1200"/>
        <w:gridCol w:w="3600"/>
        <w:gridCol w:w="4560"/>
      </w:tblGrid>
      <w:tr>
        <w:trPr>
          <w:tblHeader w:val="true"/>
        </w:trPr>
        <w:tc>
          <w:tcPr>
            <w:tcW w:type="dxa" w:w="1200"/>
            <w:tcMar>
              <w:top w:w="80" w:type="dxa"/>
              <w:start w:w="120" w:type="dxa"/>
              <w:bottom w:w="80" w:type="dxa"/>
              <w:end w:w="120" w:type="dxa"/>
            </w:tcMar>
            <w:shd w:fill="082345"/>
          </w:tcPr>
          <w:p>
            <w:pPr>
              <w:spacing w:after="0"/>
            </w:pPr>
            <w:r>
              <w:rPr>
                <w:rFonts w:ascii="Calibri" w:hAnsi="Calibri"/>
                <w:b/>
                <w:i w:val="0"/>
                <w:color w:val="FFFFFF"/>
                <w:sz w:val="17"/>
              </w:rPr>
              <w:t>Time</w:t>
            </w:r>
          </w:p>
        </w:tc>
        <w:tc>
          <w:tcPr>
            <w:tcW w:type="dxa" w:w="3600"/>
            <w:tcMar>
              <w:top w:w="80" w:type="dxa"/>
              <w:start w:w="120" w:type="dxa"/>
              <w:bottom w:w="80" w:type="dxa"/>
              <w:end w:w="120" w:type="dxa"/>
            </w:tcMar>
            <w:shd w:fill="082345"/>
          </w:tcPr>
          <w:p>
            <w:pPr>
              <w:spacing w:after="0"/>
            </w:pPr>
            <w:r>
              <w:rPr>
                <w:rFonts w:ascii="Calibri" w:hAnsi="Calibri"/>
                <w:b/>
                <w:i w:val="0"/>
                <w:color w:val="FFFFFF"/>
                <w:sz w:val="17"/>
              </w:rPr>
              <w:t>Show</w:t>
            </w:r>
          </w:p>
        </w:tc>
        <w:tc>
          <w:tcPr>
            <w:tcW w:type="dxa" w:w="4560"/>
            <w:tcMar>
              <w:top w:w="80" w:type="dxa"/>
              <w:start w:w="120" w:type="dxa"/>
              <w:bottom w:w="80" w:type="dxa"/>
              <w:end w:w="120" w:type="dxa"/>
            </w:tcMar>
            <w:shd w:fill="082345"/>
          </w:tcPr>
          <w:p>
            <w:pPr>
              <w:spacing w:after="0"/>
            </w:pPr>
            <w:r>
              <w:rPr>
                <w:rFonts w:ascii="Calibri" w:hAnsi="Calibri"/>
                <w:b/>
                <w:i w:val="0"/>
                <w:color w:val="FFFFFF"/>
                <w:sz w:val="17"/>
              </w:rPr>
              <w:t>Commercial point</w:t>
            </w:r>
          </w:p>
        </w:tc>
      </w:tr>
      <w:tr>
        <w:tc>
          <w:tcPr>
            <w:tcW w:type="dxa" w:w="1200"/>
            <w:shd w:fill="FFFFFF"/>
          </w:tcPr>
          <w:p>
            <w:pPr>
              <w:spacing w:after="0"/>
            </w:pPr>
            <w:r>
              <w:rPr>
                <w:rFonts w:ascii="Calibri" w:hAnsi="Calibri"/>
                <w:b/>
                <w:i w:val="0"/>
                <w:color w:val="082345"/>
                <w:sz w:val="17"/>
              </w:rPr>
              <w:t>0:00-1:00</w:t>
            </w:r>
          </w:p>
        </w:tc>
        <w:tc>
          <w:tcPr>
            <w:tcW w:type="dxa" w:w="3600"/>
            <w:shd w:fill="FFFFFF"/>
          </w:tcPr>
          <w:p>
            <w:pPr>
              <w:spacing w:after="0"/>
            </w:pPr>
            <w:r>
              <w:rPr>
                <w:rFonts w:ascii="Calibri" w:hAnsi="Calibri"/>
                <w:b w:val="0"/>
                <w:i w:val="0"/>
                <w:color w:val="14263D"/>
                <w:sz w:val="17"/>
              </w:rPr>
              <w:t>Landing page and organisation workspace</w:t>
            </w:r>
          </w:p>
        </w:tc>
        <w:tc>
          <w:tcPr>
            <w:tcW w:type="dxa" w:w="4560"/>
            <w:shd w:fill="FFFFFF"/>
          </w:tcPr>
          <w:p>
            <w:pPr>
              <w:spacing w:after="0"/>
            </w:pPr>
            <w:r>
              <w:rPr>
                <w:rFonts w:ascii="Calibri" w:hAnsi="Calibri"/>
                <w:b w:val="0"/>
                <w:i w:val="0"/>
                <w:color w:val="14263D"/>
                <w:sz w:val="17"/>
              </w:rPr>
              <w:t>Clear category promise and tenant separation</w:t>
            </w:r>
          </w:p>
        </w:tc>
      </w:tr>
      <w:tr>
        <w:tc>
          <w:tcPr>
            <w:tcW w:type="dxa" w:w="1200"/>
            <w:shd w:fill="F4F7FA"/>
          </w:tcPr>
          <w:p>
            <w:pPr>
              <w:spacing w:after="0"/>
            </w:pPr>
            <w:r>
              <w:rPr>
                <w:rFonts w:ascii="Calibri" w:hAnsi="Calibri"/>
                <w:b/>
                <w:i w:val="0"/>
                <w:color w:val="082345"/>
                <w:sz w:val="17"/>
              </w:rPr>
              <w:t>1:00-3:00</w:t>
            </w:r>
          </w:p>
        </w:tc>
        <w:tc>
          <w:tcPr>
            <w:tcW w:type="dxa" w:w="3600"/>
            <w:shd w:fill="F4F7FA"/>
          </w:tcPr>
          <w:p>
            <w:pPr>
              <w:spacing w:after="0"/>
            </w:pPr>
            <w:r>
              <w:rPr>
                <w:rFonts w:ascii="Calibri" w:hAnsi="Calibri"/>
                <w:b w:val="0"/>
                <w:i w:val="0"/>
                <w:color w:val="14263D"/>
                <w:sz w:val="17"/>
              </w:rPr>
              <w:t>Import or open the MDR grouped by discipline</w:t>
            </w:r>
          </w:p>
        </w:tc>
        <w:tc>
          <w:tcPr>
            <w:tcW w:type="dxa" w:w="4560"/>
            <w:shd w:fill="F4F7FA"/>
          </w:tcPr>
          <w:p>
            <w:pPr>
              <w:spacing w:after="0"/>
            </w:pPr>
            <w:r>
              <w:rPr>
                <w:rFonts w:ascii="Calibri" w:hAnsi="Calibri"/>
                <w:b w:val="0"/>
                <w:i w:val="0"/>
                <w:color w:val="14263D"/>
                <w:sz w:val="17"/>
              </w:rPr>
              <w:t>Fast mobilisation and a controlled plan</w:t>
            </w:r>
          </w:p>
        </w:tc>
      </w:tr>
      <w:tr>
        <w:tc>
          <w:tcPr>
            <w:tcW w:type="dxa" w:w="1200"/>
            <w:shd w:fill="FFFFFF"/>
          </w:tcPr>
          <w:p>
            <w:pPr>
              <w:spacing w:after="0"/>
            </w:pPr>
            <w:r>
              <w:rPr>
                <w:rFonts w:ascii="Calibri" w:hAnsi="Calibri"/>
                <w:b/>
                <w:i w:val="0"/>
                <w:color w:val="082345"/>
                <w:sz w:val="17"/>
              </w:rPr>
              <w:t>3:00-4:30</w:t>
            </w:r>
          </w:p>
        </w:tc>
        <w:tc>
          <w:tcPr>
            <w:tcW w:type="dxa" w:w="3600"/>
            <w:shd w:fill="FFFFFF"/>
          </w:tcPr>
          <w:p>
            <w:pPr>
              <w:spacing w:after="0"/>
            </w:pPr>
            <w:r>
              <w:rPr>
                <w:rFonts w:ascii="Calibri" w:hAnsi="Calibri"/>
                <w:b w:val="0"/>
                <w:i w:val="0"/>
                <w:color w:val="14263D"/>
                <w:sz w:val="17"/>
              </w:rPr>
              <w:t>Invite a discipline engineer and show assigned work</w:t>
            </w:r>
          </w:p>
        </w:tc>
        <w:tc>
          <w:tcPr>
            <w:tcW w:type="dxa" w:w="4560"/>
            <w:shd w:fill="FFFFFF"/>
          </w:tcPr>
          <w:p>
            <w:pPr>
              <w:spacing w:after="0"/>
            </w:pPr>
            <w:r>
              <w:rPr>
                <w:rFonts w:ascii="Calibri" w:hAnsi="Calibri"/>
                <w:b w:val="0"/>
                <w:i w:val="0"/>
                <w:color w:val="14263D"/>
                <w:sz w:val="17"/>
              </w:rPr>
              <w:t>Ownership without exposing unrelated controls</w:t>
            </w:r>
          </w:p>
        </w:tc>
      </w:tr>
      <w:tr>
        <w:tc>
          <w:tcPr>
            <w:tcW w:type="dxa" w:w="1200"/>
            <w:shd w:fill="F4F7FA"/>
          </w:tcPr>
          <w:p>
            <w:pPr>
              <w:spacing w:after="0"/>
            </w:pPr>
            <w:r>
              <w:rPr>
                <w:rFonts w:ascii="Calibri" w:hAnsi="Calibri"/>
                <w:b/>
                <w:i w:val="0"/>
                <w:color w:val="082345"/>
                <w:sz w:val="17"/>
              </w:rPr>
              <w:t>4:30-6:00</w:t>
            </w:r>
          </w:p>
        </w:tc>
        <w:tc>
          <w:tcPr>
            <w:tcW w:type="dxa" w:w="3600"/>
            <w:shd w:fill="F4F7FA"/>
          </w:tcPr>
          <w:p>
            <w:pPr>
              <w:spacing w:after="0"/>
            </w:pPr>
            <w:r>
              <w:rPr>
                <w:rFonts w:ascii="Calibri" w:hAnsi="Calibri"/>
                <w:b w:val="0"/>
                <w:i w:val="0"/>
                <w:color w:val="14263D"/>
                <w:sz w:val="17"/>
              </w:rPr>
              <w:t>Open document history and secure preview</w:t>
            </w:r>
          </w:p>
        </w:tc>
        <w:tc>
          <w:tcPr>
            <w:tcW w:type="dxa" w:w="4560"/>
            <w:shd w:fill="F4F7FA"/>
          </w:tcPr>
          <w:p>
            <w:pPr>
              <w:spacing w:after="0"/>
            </w:pPr>
            <w:r>
              <w:rPr>
                <w:rFonts w:ascii="Calibri" w:hAnsi="Calibri"/>
                <w:b w:val="0"/>
                <w:i w:val="0"/>
                <w:color w:val="14263D"/>
                <w:sz w:val="17"/>
              </w:rPr>
              <w:t>Immutable revision evidence and authorised access</w:t>
            </w:r>
          </w:p>
        </w:tc>
      </w:tr>
      <w:tr>
        <w:tc>
          <w:tcPr>
            <w:tcW w:type="dxa" w:w="1200"/>
            <w:shd w:fill="FFFFFF"/>
          </w:tcPr>
          <w:p>
            <w:pPr>
              <w:spacing w:after="0"/>
            </w:pPr>
            <w:r>
              <w:rPr>
                <w:rFonts w:ascii="Calibri" w:hAnsi="Calibri"/>
                <w:b/>
                <w:i w:val="0"/>
                <w:color w:val="082345"/>
                <w:sz w:val="17"/>
              </w:rPr>
              <w:t>6:00-7:30</w:t>
            </w:r>
          </w:p>
        </w:tc>
        <w:tc>
          <w:tcPr>
            <w:tcW w:type="dxa" w:w="3600"/>
            <w:shd w:fill="FFFFFF"/>
          </w:tcPr>
          <w:p>
            <w:pPr>
              <w:spacing w:after="0"/>
            </w:pPr>
            <w:r>
              <w:rPr>
                <w:rFonts w:ascii="Calibri" w:hAnsi="Calibri"/>
                <w:b w:val="0"/>
                <w:i w:val="0"/>
                <w:color w:val="14263D"/>
                <w:sz w:val="17"/>
              </w:rPr>
              <w:t>DCC review and acceptance</w:t>
            </w:r>
          </w:p>
        </w:tc>
        <w:tc>
          <w:tcPr>
            <w:tcW w:type="dxa" w:w="4560"/>
            <w:shd w:fill="FFFFFF"/>
          </w:tcPr>
          <w:p>
            <w:pPr>
              <w:spacing w:after="0"/>
            </w:pPr>
            <w:r>
              <w:rPr>
                <w:rFonts w:ascii="Calibri" w:hAnsi="Calibri"/>
                <w:b w:val="0"/>
                <w:i w:val="0"/>
                <w:color w:val="14263D"/>
                <w:sz w:val="17"/>
              </w:rPr>
              <w:t>Quality gate before a document becomes controlled</w:t>
            </w:r>
          </w:p>
        </w:tc>
      </w:tr>
      <w:tr>
        <w:tc>
          <w:tcPr>
            <w:tcW w:type="dxa" w:w="1200"/>
            <w:shd w:fill="F4F7FA"/>
          </w:tcPr>
          <w:p>
            <w:pPr>
              <w:spacing w:after="0"/>
            </w:pPr>
            <w:r>
              <w:rPr>
                <w:rFonts w:ascii="Calibri" w:hAnsi="Calibri"/>
                <w:b/>
                <w:i w:val="0"/>
                <w:color w:val="082345"/>
                <w:sz w:val="17"/>
              </w:rPr>
              <w:t>7:30-9:00</w:t>
            </w:r>
          </w:p>
        </w:tc>
        <w:tc>
          <w:tcPr>
            <w:tcW w:type="dxa" w:w="3600"/>
            <w:shd w:fill="F4F7FA"/>
          </w:tcPr>
          <w:p>
            <w:pPr>
              <w:spacing w:after="0"/>
            </w:pPr>
            <w:r>
              <w:rPr>
                <w:rFonts w:ascii="Calibri" w:hAnsi="Calibri"/>
                <w:b w:val="0"/>
                <w:i w:val="0"/>
                <w:color w:val="14263D"/>
                <w:sz w:val="17"/>
              </w:rPr>
              <w:t>Progress dashboard and weekly report</w:t>
            </w:r>
          </w:p>
        </w:tc>
        <w:tc>
          <w:tcPr>
            <w:tcW w:type="dxa" w:w="4560"/>
            <w:shd w:fill="F4F7FA"/>
          </w:tcPr>
          <w:p>
            <w:pPr>
              <w:spacing w:after="0"/>
            </w:pPr>
            <w:r>
              <w:rPr>
                <w:rFonts w:ascii="Calibri" w:hAnsi="Calibri"/>
                <w:b w:val="0"/>
                <w:i w:val="0"/>
                <w:color w:val="14263D"/>
                <w:sz w:val="17"/>
              </w:rPr>
              <w:t>Early warning and repeatable management reporting</w:t>
            </w:r>
          </w:p>
        </w:tc>
      </w:tr>
      <w:tr>
        <w:tc>
          <w:tcPr>
            <w:tcW w:type="dxa" w:w="1200"/>
            <w:shd w:fill="FFFFFF"/>
          </w:tcPr>
          <w:p>
            <w:pPr>
              <w:spacing w:after="0"/>
            </w:pPr>
            <w:r>
              <w:rPr>
                <w:rFonts w:ascii="Calibri" w:hAnsi="Calibri"/>
                <w:b/>
                <w:i w:val="0"/>
                <w:color w:val="082345"/>
                <w:sz w:val="17"/>
              </w:rPr>
              <w:t>9:00-10:30</w:t>
            </w:r>
          </w:p>
        </w:tc>
        <w:tc>
          <w:tcPr>
            <w:tcW w:type="dxa" w:w="3600"/>
            <w:shd w:fill="FFFFFF"/>
          </w:tcPr>
          <w:p>
            <w:pPr>
              <w:spacing w:after="0"/>
            </w:pPr>
            <w:r>
              <w:rPr>
                <w:rFonts w:ascii="Calibri" w:hAnsi="Calibri"/>
                <w:b w:val="0"/>
                <w:i w:val="0"/>
                <w:color w:val="14263D"/>
                <w:sz w:val="17"/>
              </w:rPr>
              <w:t>Create a transmittal or work package</w:t>
            </w:r>
          </w:p>
        </w:tc>
        <w:tc>
          <w:tcPr>
            <w:tcW w:type="dxa" w:w="4560"/>
            <w:shd w:fill="FFFFFF"/>
          </w:tcPr>
          <w:p>
            <w:pPr>
              <w:spacing w:after="0"/>
            </w:pPr>
            <w:r>
              <w:rPr>
                <w:rFonts w:ascii="Calibri" w:hAnsi="Calibri"/>
                <w:b w:val="0"/>
                <w:i w:val="0"/>
                <w:color w:val="14263D"/>
                <w:sz w:val="17"/>
              </w:rPr>
              <w:t>Controlled issue set and professional client handover</w:t>
            </w:r>
          </w:p>
        </w:tc>
      </w:tr>
      <w:tr>
        <w:tc>
          <w:tcPr>
            <w:tcW w:type="dxa" w:w="1200"/>
            <w:shd w:fill="F4F7FA"/>
          </w:tcPr>
          <w:p>
            <w:pPr>
              <w:spacing w:after="0"/>
            </w:pPr>
            <w:r>
              <w:rPr>
                <w:rFonts w:ascii="Calibri" w:hAnsi="Calibri"/>
                <w:b/>
                <w:i w:val="0"/>
                <w:color w:val="082345"/>
                <w:sz w:val="17"/>
              </w:rPr>
              <w:t>10:30-12:00</w:t>
            </w:r>
          </w:p>
        </w:tc>
        <w:tc>
          <w:tcPr>
            <w:tcW w:type="dxa" w:w="3600"/>
            <w:shd w:fill="F4F7FA"/>
          </w:tcPr>
          <w:p>
            <w:pPr>
              <w:spacing w:after="0"/>
            </w:pPr>
            <w:r>
              <w:rPr>
                <w:rFonts w:ascii="Calibri" w:hAnsi="Calibri"/>
                <w:b w:val="0"/>
                <w:i w:val="0"/>
                <w:color w:val="14263D"/>
                <w:sz w:val="17"/>
              </w:rPr>
              <w:t>Evidence search and Ask EngiCite</w:t>
            </w:r>
          </w:p>
        </w:tc>
        <w:tc>
          <w:tcPr>
            <w:tcW w:type="dxa" w:w="4560"/>
            <w:shd w:fill="F4F7FA"/>
          </w:tcPr>
          <w:p>
            <w:pPr>
              <w:spacing w:after="0"/>
            </w:pPr>
            <w:r>
              <w:rPr>
                <w:rFonts w:ascii="Calibri" w:hAnsi="Calibri"/>
                <w:b w:val="0"/>
                <w:i w:val="0"/>
                <w:color w:val="14263D"/>
                <w:sz w:val="17"/>
              </w:rPr>
              <w:t>Open the proof behind a project answer</w:t>
            </w:r>
          </w:p>
        </w:tc>
      </w:tr>
    </w:tbl>
    <w:p>
      <w:pPr>
        <w:spacing w:after="80"/>
      </w:pP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9360"/>
      </w:tblGrid>
      <w:tr>
        <w:tc>
          <w:tcPr>
            <w:tcW w:type="dxa" w:w="9360"/>
            <w:tcMar>
              <w:top w:w="220" w:type="dxa"/>
              <w:start w:w="260" w:type="dxa"/>
              <w:bottom w:w="220" w:type="dxa"/>
              <w:end w:w="260" w:type="dxa"/>
            </w:tcMar>
            <w:shd w:fill="082345"/>
          </w:tcPr>
          <w:p>
            <w:pPr>
              <w:spacing w:after="100"/>
            </w:pPr>
            <w:r>
              <w:rPr>
                <w:rFonts w:ascii="Calibri" w:hAnsi="Calibri"/>
                <w:b/>
                <w:i w:val="0"/>
                <w:color w:val="ED7138"/>
                <w:sz w:val="18"/>
              </w:rPr>
              <w:t>RECOMMENDED PILOT CLOSE</w:t>
            </w:r>
          </w:p>
          <w:p>
            <w:pPr>
              <w:spacing w:after="0" w:line="283" w:lineRule="auto"/>
            </w:pPr>
            <w:r>
              <w:rPr>
                <w:rFonts w:ascii="Calibri" w:hAnsi="Calibri"/>
                <w:b/>
                <w:i w:val="0"/>
                <w:color w:val="FFFFFF"/>
                <w:sz w:val="26"/>
              </w:rPr>
              <w:t>LET US LOAD ONE REAL PROJECT MDR, ASSIGN TWO DISCIPLINES AND RUN ONE DOCUMENT FROM PLANNED DATE TO CLIENT TRANSMITTAL.</w:t>
            </w:r>
          </w:p>
        </w:tc>
      </w:tr>
    </w:tbl>
    <w:p>
      <w:r>
        <w:br w:type="page"/>
      </w:r>
    </w:p>
    <w:p>
      <w:pPr>
        <w:pStyle w:val="Kicker"/>
      </w:pPr>
      <w:r>
        <w:t>90-DAY GO-TO-MARKET PLAN</w:t>
      </w:r>
    </w:p>
    <w:p>
      <w:pPr>
        <w:keepNext/>
        <w:spacing w:before="0" w:after="160"/>
        <w:jc w:val="left"/>
      </w:pPr>
      <w:r>
        <w:rPr>
          <w:rFonts w:ascii="Calibri" w:hAnsi="Calibri"/>
          <w:b/>
          <w:i w:val="0"/>
          <w:color w:val="082345"/>
          <w:sz w:val="44"/>
        </w:rPr>
        <w:t>Lead with a controlled pilot, then convert proof into repeatable demand</w:t>
      </w:r>
    </w:p>
    <w:p>
      <w:pPr>
        <w:spacing w:after="240" w:line="293" w:lineRule="auto"/>
        <w:jc w:val="left"/>
      </w:pPr>
      <w:r>
        <w:rPr>
          <w:rFonts w:ascii="Calibri" w:hAnsi="Calibri"/>
          <w:b w:val="0"/>
          <w:i w:val="0"/>
          <w:color w:val="5E6B7A"/>
          <w:sz w:val="23"/>
        </w:rPr>
        <w:t>The first objective is not broad awareness. It is credible product proof with a small number of high-fit engineering organisations and document-control champions.</w:t>
      </w:r>
    </w:p>
    <w:tbl>
      <w:tblPr>
        <w:tblW w:type="dxa" w:w="9360"/>
        <w:jc w:val="left"/>
        <w:tblLayout w:type="fixed"/>
        <w:tblLook w:firstColumn="1" w:firstRow="1" w:lastColumn="0" w:lastRow="0" w:noHBand="0" w:noVBand="1" w:val="04A0"/>
        <w:tblInd w:w="120" w:type="dxa"/>
        <w:tblBorders>
          <w:top w:val="single" w:sz="5" w:color="DDE5EC"/>
          <w:left w:val="single" w:sz="5" w:color="DDE5EC"/>
          <w:bottom w:val="single" w:sz="5" w:color="DDE5EC"/>
          <w:right w:val="single" w:sz="5" w:color="DDE5EC"/>
          <w:insideH w:val="single" w:sz="5" w:color="DDE5EC"/>
          <w:insideV w:val="single" w:sz="5" w:color="DDE5EC"/>
        </w:tblBorders>
      </w:tblPr>
      <w:tblGrid>
        <w:gridCol w:w="1500"/>
        <w:gridCol w:w="2300"/>
        <w:gridCol w:w="3650"/>
        <w:gridCol w:w="1910"/>
      </w:tblGrid>
      <w:tr>
        <w:trPr>
          <w:tblHeader w:val="true"/>
        </w:trPr>
        <w:tc>
          <w:tcPr>
            <w:tcW w:type="dxa" w:w="1500"/>
            <w:tcMar>
              <w:top w:w="80" w:type="dxa"/>
              <w:start w:w="120" w:type="dxa"/>
              <w:bottom w:w="80" w:type="dxa"/>
              <w:end w:w="120" w:type="dxa"/>
            </w:tcMar>
            <w:shd w:fill="082345"/>
          </w:tcPr>
          <w:p>
            <w:pPr>
              <w:spacing w:after="0"/>
            </w:pPr>
            <w:r>
              <w:rPr>
                <w:rFonts w:ascii="Calibri" w:hAnsi="Calibri"/>
                <w:b/>
                <w:i w:val="0"/>
                <w:color w:val="FFFFFF"/>
                <w:sz w:val="17"/>
              </w:rPr>
              <w:t>Phase</w:t>
            </w:r>
          </w:p>
        </w:tc>
        <w:tc>
          <w:tcPr>
            <w:tcW w:type="dxa" w:w="2300"/>
            <w:tcMar>
              <w:top w:w="80" w:type="dxa"/>
              <w:start w:w="120" w:type="dxa"/>
              <w:bottom w:w="80" w:type="dxa"/>
              <w:end w:w="120" w:type="dxa"/>
            </w:tcMar>
            <w:shd w:fill="082345"/>
          </w:tcPr>
          <w:p>
            <w:pPr>
              <w:spacing w:after="0"/>
            </w:pPr>
            <w:r>
              <w:rPr>
                <w:rFonts w:ascii="Calibri" w:hAnsi="Calibri"/>
                <w:b/>
                <w:i w:val="0"/>
                <w:color w:val="FFFFFF"/>
                <w:sz w:val="17"/>
              </w:rPr>
              <w:t>Commercial objective</w:t>
            </w:r>
          </w:p>
        </w:tc>
        <w:tc>
          <w:tcPr>
            <w:tcW w:type="dxa" w:w="3650"/>
            <w:tcMar>
              <w:top w:w="80" w:type="dxa"/>
              <w:start w:w="120" w:type="dxa"/>
              <w:bottom w:w="80" w:type="dxa"/>
              <w:end w:w="120" w:type="dxa"/>
            </w:tcMar>
            <w:shd w:fill="082345"/>
          </w:tcPr>
          <w:p>
            <w:pPr>
              <w:spacing w:after="0"/>
            </w:pPr>
            <w:r>
              <w:rPr>
                <w:rFonts w:ascii="Calibri" w:hAnsi="Calibri"/>
                <w:b/>
                <w:i w:val="0"/>
                <w:color w:val="FFFFFF"/>
                <w:sz w:val="17"/>
              </w:rPr>
              <w:t>Actions</w:t>
            </w:r>
          </w:p>
        </w:tc>
        <w:tc>
          <w:tcPr>
            <w:tcW w:type="dxa" w:w="1910"/>
            <w:tcMar>
              <w:top w:w="80" w:type="dxa"/>
              <w:start w:w="120" w:type="dxa"/>
              <w:bottom w:w="80" w:type="dxa"/>
              <w:end w:w="120" w:type="dxa"/>
            </w:tcMar>
            <w:shd w:fill="082345"/>
          </w:tcPr>
          <w:p>
            <w:pPr>
              <w:spacing w:after="0"/>
            </w:pPr>
            <w:r>
              <w:rPr>
                <w:rFonts w:ascii="Calibri" w:hAnsi="Calibri"/>
                <w:b/>
                <w:i w:val="0"/>
                <w:color w:val="FFFFFF"/>
                <w:sz w:val="17"/>
              </w:rPr>
              <w:t>Exit signal</w:t>
            </w:r>
          </w:p>
        </w:tc>
      </w:tr>
      <w:tr>
        <w:tc>
          <w:tcPr>
            <w:tcW w:type="dxa" w:w="1500"/>
            <w:shd w:fill="FFFFFF"/>
          </w:tcPr>
          <w:p>
            <w:pPr>
              <w:spacing w:after="0"/>
            </w:pPr>
            <w:r>
              <w:rPr>
                <w:rFonts w:ascii="Calibri" w:hAnsi="Calibri"/>
                <w:b/>
                <w:i w:val="0"/>
                <w:color w:val="082345"/>
                <w:sz w:val="16"/>
              </w:rPr>
              <w:t>Days 1-30 - Prepare</w:t>
            </w:r>
          </w:p>
        </w:tc>
        <w:tc>
          <w:tcPr>
            <w:tcW w:type="dxa" w:w="2300"/>
            <w:shd w:fill="FFFFFF"/>
          </w:tcPr>
          <w:p>
            <w:pPr>
              <w:spacing w:after="0"/>
            </w:pPr>
            <w:r>
              <w:rPr>
                <w:rFonts w:ascii="Calibri" w:hAnsi="Calibri"/>
                <w:b w:val="0"/>
                <w:i w:val="0"/>
                <w:color w:val="14263D"/>
                <w:sz w:val="16"/>
              </w:rPr>
              <w:t>Make the product safe and demo-ready</w:t>
            </w:r>
          </w:p>
        </w:tc>
        <w:tc>
          <w:tcPr>
            <w:tcW w:type="dxa" w:w="3650"/>
            <w:shd w:fill="FFFFFF"/>
          </w:tcPr>
          <w:p>
            <w:pPr>
              <w:spacing w:after="0"/>
            </w:pPr>
            <w:r>
              <w:rPr>
                <w:rFonts w:ascii="Calibri" w:hAnsi="Calibri"/>
                <w:b w:val="0"/>
                <w:i w:val="0"/>
                <w:color w:val="14263D"/>
                <w:sz w:val="16"/>
              </w:rPr>
              <w:t>Complete deployment, email/AI configuration, demo dataset, security evidence pack, pilot agreement and demo script</w:t>
            </w:r>
          </w:p>
        </w:tc>
        <w:tc>
          <w:tcPr>
            <w:tcW w:type="dxa" w:w="1910"/>
            <w:shd w:fill="FFFFFF"/>
          </w:tcPr>
          <w:p>
            <w:pPr>
              <w:spacing w:after="0"/>
            </w:pPr>
            <w:r>
              <w:rPr>
                <w:rFonts w:ascii="Calibri" w:hAnsi="Calibri"/>
                <w:b w:val="0"/>
                <w:i w:val="0"/>
                <w:color w:val="14263D"/>
                <w:sz w:val="16"/>
              </w:rPr>
              <w:t>A repeatable 12-minute demo and a signed pilot checklist</w:t>
            </w:r>
          </w:p>
        </w:tc>
      </w:tr>
      <w:tr>
        <w:tc>
          <w:tcPr>
            <w:tcW w:type="dxa" w:w="1500"/>
            <w:shd w:fill="F4F7FA"/>
          </w:tcPr>
          <w:p>
            <w:pPr>
              <w:spacing w:after="0"/>
            </w:pPr>
            <w:r>
              <w:rPr>
                <w:rFonts w:ascii="Calibri" w:hAnsi="Calibri"/>
                <w:b/>
                <w:i w:val="0"/>
                <w:color w:val="082345"/>
                <w:sz w:val="16"/>
              </w:rPr>
              <w:t>Days 31-60 - Prove</w:t>
            </w:r>
          </w:p>
        </w:tc>
        <w:tc>
          <w:tcPr>
            <w:tcW w:type="dxa" w:w="2300"/>
            <w:shd w:fill="F4F7FA"/>
          </w:tcPr>
          <w:p>
            <w:pPr>
              <w:spacing w:after="0"/>
            </w:pPr>
            <w:r>
              <w:rPr>
                <w:rFonts w:ascii="Calibri" w:hAnsi="Calibri"/>
                <w:b w:val="0"/>
                <w:i w:val="0"/>
                <w:color w:val="14263D"/>
                <w:sz w:val="16"/>
              </w:rPr>
              <w:t>Run 2-3 design-partner pilots</w:t>
            </w:r>
          </w:p>
        </w:tc>
        <w:tc>
          <w:tcPr>
            <w:tcW w:type="dxa" w:w="3650"/>
            <w:shd w:fill="F4F7FA"/>
          </w:tcPr>
          <w:p>
            <w:pPr>
              <w:spacing w:after="0"/>
            </w:pPr>
            <w:r>
              <w:rPr>
                <w:rFonts w:ascii="Calibri" w:hAnsi="Calibri"/>
                <w:b w:val="0"/>
                <w:i w:val="0"/>
                <w:color w:val="14263D"/>
                <w:sz w:val="16"/>
              </w:rPr>
              <w:t>Import real MDRs, onboard DCC and engineers, measure setup time, overdue visibility and transmittal effort</w:t>
            </w:r>
          </w:p>
        </w:tc>
        <w:tc>
          <w:tcPr>
            <w:tcW w:type="dxa" w:w="1910"/>
            <w:shd w:fill="F4F7FA"/>
          </w:tcPr>
          <w:p>
            <w:pPr>
              <w:spacing w:after="0"/>
            </w:pPr>
            <w:r>
              <w:rPr>
                <w:rFonts w:ascii="Calibri" w:hAnsi="Calibri"/>
                <w:b w:val="0"/>
                <w:i w:val="0"/>
                <w:color w:val="14263D"/>
                <w:sz w:val="16"/>
              </w:rPr>
              <w:t>At least one complete deliverable workflow and quantified customer outcome</w:t>
            </w:r>
          </w:p>
        </w:tc>
      </w:tr>
      <w:tr>
        <w:tc>
          <w:tcPr>
            <w:tcW w:type="dxa" w:w="1500"/>
            <w:shd w:fill="FFFFFF"/>
          </w:tcPr>
          <w:p>
            <w:pPr>
              <w:spacing w:after="0"/>
            </w:pPr>
            <w:r>
              <w:rPr>
                <w:rFonts w:ascii="Calibri" w:hAnsi="Calibri"/>
                <w:b/>
                <w:i w:val="0"/>
                <w:color w:val="082345"/>
                <w:sz w:val="16"/>
              </w:rPr>
              <w:t>Days 61-90 - Convert</w:t>
            </w:r>
          </w:p>
        </w:tc>
        <w:tc>
          <w:tcPr>
            <w:tcW w:type="dxa" w:w="2300"/>
            <w:shd w:fill="FFFFFF"/>
          </w:tcPr>
          <w:p>
            <w:pPr>
              <w:spacing w:after="0"/>
            </w:pPr>
            <w:r>
              <w:rPr>
                <w:rFonts w:ascii="Calibri" w:hAnsi="Calibri"/>
                <w:b w:val="0"/>
                <w:i w:val="0"/>
                <w:color w:val="14263D"/>
                <w:sz w:val="16"/>
              </w:rPr>
              <w:t>Turn outcomes into demand</w:t>
            </w:r>
          </w:p>
        </w:tc>
        <w:tc>
          <w:tcPr>
            <w:tcW w:type="dxa" w:w="3650"/>
            <w:shd w:fill="FFFFFF"/>
          </w:tcPr>
          <w:p>
            <w:pPr>
              <w:spacing w:after="0"/>
            </w:pPr>
            <w:r>
              <w:rPr>
                <w:rFonts w:ascii="Calibri" w:hAnsi="Calibri"/>
                <w:b w:val="0"/>
                <w:i w:val="0"/>
                <w:color w:val="14263D"/>
                <w:sz w:val="16"/>
              </w:rPr>
              <w:t>Publish a controlled case study, webinar, DCC guide, comparison page and partner outreach campaign</w:t>
            </w:r>
          </w:p>
        </w:tc>
        <w:tc>
          <w:tcPr>
            <w:tcW w:type="dxa" w:w="1910"/>
            <w:shd w:fill="FFFFFF"/>
          </w:tcPr>
          <w:p>
            <w:pPr>
              <w:spacing w:after="0"/>
            </w:pPr>
            <w:r>
              <w:rPr>
                <w:rFonts w:ascii="Calibri" w:hAnsi="Calibri"/>
                <w:b w:val="0"/>
                <w:i w:val="0"/>
                <w:color w:val="14263D"/>
                <w:sz w:val="16"/>
              </w:rPr>
              <w:t>Qualified pipeline, reference customer and paid conversion proposal</w:t>
            </w:r>
          </w:p>
        </w:tc>
      </w:tr>
    </w:tbl>
    <w:p>
      <w:pPr>
        <w:spacing w:after="80"/>
      </w:pPr>
    </w:p>
    <w:p>
      <w:pPr>
        <w:spacing w:after="120"/>
      </w:pPr>
      <w:r>
        <w:rPr>
          <w:rFonts w:ascii="Calibri" w:hAnsi="Calibri"/>
          <w:b/>
          <w:i w:val="0"/>
          <w:color w:val="14263D"/>
          <w:sz w:val="22"/>
        </w:rPr>
        <w:t>Priority channels</w:t>
      </w:r>
      <w:r>
        <w:rPr>
          <w:rFonts w:ascii="Calibri" w:hAnsi="Calibri"/>
          <w:b w:val="0"/>
          <w:i w:val="0"/>
          <w:color w:val="14263D"/>
          <w:sz w:val="22"/>
        </w:rPr>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480"/>
        <w:gridCol w:w="8880"/>
      </w:tblGrid>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Founder-led outreach: </w:t>
            </w:r>
            <w:r>
              <w:rPr>
                <w:rFonts w:ascii="Calibri" w:hAnsi="Calibri"/>
                <w:b w:val="0"/>
                <w:i w:val="0"/>
                <w:color w:val="14263D"/>
                <w:sz w:val="18"/>
              </w:rPr>
              <w:t>project directors, lead document controllers and engineering managers in existing professional networks.</w:t>
            </w:r>
          </w:p>
        </w:tc>
      </w:tr>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Design-partner workshops: </w:t>
            </w:r>
            <w:r>
              <w:rPr>
                <w:rFonts w:ascii="Calibri" w:hAnsi="Calibri"/>
                <w:b w:val="0"/>
                <w:i w:val="0"/>
                <w:color w:val="14263D"/>
                <w:sz w:val="18"/>
              </w:rPr>
              <w:t>60-minute MDR health assessment using the customer's current spreadsheet and workflow.</w:t>
            </w:r>
          </w:p>
        </w:tc>
      </w:tr>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LinkedIn authority content: </w:t>
            </w:r>
            <w:r>
              <w:rPr>
                <w:rFonts w:ascii="Calibri" w:hAnsi="Calibri"/>
                <w:b w:val="0"/>
                <w:i w:val="0"/>
                <w:color w:val="14263D"/>
                <w:sz w:val="18"/>
              </w:rPr>
              <w:t>practical DCC topics - late deliverables, revision errors, transmittal control and handover readiness.</w:t>
            </w:r>
          </w:p>
        </w:tc>
      </w:tr>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Implementation partners: </w:t>
            </w:r>
            <w:r>
              <w:rPr>
                <w:rFonts w:ascii="Calibri" w:hAnsi="Calibri"/>
                <w:b w:val="0"/>
                <w:i w:val="0"/>
                <w:color w:val="14263D"/>
                <w:sz w:val="18"/>
              </w:rPr>
              <w:t>document-control consultants, EPC digitalisation specialists and engineering project-service firms.</w:t>
            </w:r>
          </w:p>
        </w:tc>
      </w:tr>
    </w:tbl>
    <w:p>
      <w:pPr>
        <w:spacing w:after="0"/>
      </w:pPr>
    </w:p>
    <w:p>
      <w:r>
        <w:br w:type="page"/>
      </w:r>
    </w:p>
    <w:p>
      <w:pPr>
        <w:pStyle w:val="Kicker"/>
      </w:pPr>
      <w:r>
        <w:t>CAMPAIGN, FUNNEL AND PACKAGING</w:t>
      </w:r>
    </w:p>
    <w:p>
      <w:pPr>
        <w:keepNext/>
        <w:spacing w:before="0" w:after="160"/>
        <w:jc w:val="left"/>
      </w:pPr>
      <w:r>
        <w:rPr>
          <w:rFonts w:ascii="Calibri" w:hAnsi="Calibri"/>
          <w:b/>
          <w:i w:val="0"/>
          <w:color w:val="082345"/>
          <w:sz w:val="44"/>
        </w:rPr>
        <w:t>Convert operational pain into a measurable pilot</w:t>
      </w:r>
    </w:p>
    <w:tbl>
      <w:tblPr>
        <w:tblW w:type="dxa" w:w="9360"/>
        <w:jc w:val="left"/>
        <w:tblLayout w:type="fixed"/>
        <w:tblLook w:firstColumn="1" w:firstRow="1" w:lastColumn="0" w:lastRow="0" w:noHBand="0" w:noVBand="1" w:val="04A0"/>
        <w:tblInd w:w="120" w:type="dxa"/>
        <w:tblBorders>
          <w:top w:val="single" w:sz="5" w:color="DDE5EC"/>
          <w:left w:val="single" w:sz="5" w:color="DDE5EC"/>
          <w:bottom w:val="single" w:sz="5" w:color="DDE5EC"/>
          <w:right w:val="single" w:sz="5" w:color="DDE5EC"/>
          <w:insideH w:val="single" w:sz="5" w:color="DDE5EC"/>
          <w:insideV w:val="single" w:sz="5" w:color="DDE5EC"/>
        </w:tblBorders>
      </w:tblPr>
      <w:tblGrid>
        <w:gridCol w:w="1500"/>
        <w:gridCol w:w="2750"/>
        <w:gridCol w:w="3300"/>
        <w:gridCol w:w="1810"/>
      </w:tblGrid>
      <w:tr>
        <w:trPr>
          <w:tblHeader w:val="true"/>
        </w:trPr>
        <w:tc>
          <w:tcPr>
            <w:tcW w:type="dxa" w:w="1500"/>
            <w:tcMar>
              <w:top w:w="80" w:type="dxa"/>
              <w:start w:w="120" w:type="dxa"/>
              <w:bottom w:w="80" w:type="dxa"/>
              <w:end w:w="120" w:type="dxa"/>
            </w:tcMar>
            <w:shd w:fill="082345"/>
          </w:tcPr>
          <w:p>
            <w:pPr>
              <w:spacing w:after="0"/>
            </w:pPr>
            <w:r>
              <w:rPr>
                <w:rFonts w:ascii="Calibri" w:hAnsi="Calibri"/>
                <w:b/>
                <w:i w:val="0"/>
                <w:color w:val="FFFFFF"/>
                <w:sz w:val="17"/>
              </w:rPr>
              <w:t>Funnel stage</w:t>
            </w:r>
          </w:p>
        </w:tc>
        <w:tc>
          <w:tcPr>
            <w:tcW w:type="dxa" w:w="2750"/>
            <w:tcMar>
              <w:top w:w="80" w:type="dxa"/>
              <w:start w:w="120" w:type="dxa"/>
              <w:bottom w:w="80" w:type="dxa"/>
              <w:end w:w="120" w:type="dxa"/>
            </w:tcMar>
            <w:shd w:fill="082345"/>
          </w:tcPr>
          <w:p>
            <w:pPr>
              <w:spacing w:after="0"/>
            </w:pPr>
            <w:r>
              <w:rPr>
                <w:rFonts w:ascii="Calibri" w:hAnsi="Calibri"/>
                <w:b/>
                <w:i w:val="0"/>
                <w:color w:val="FFFFFF"/>
                <w:sz w:val="17"/>
              </w:rPr>
              <w:t>Buyer question</w:t>
            </w:r>
          </w:p>
        </w:tc>
        <w:tc>
          <w:tcPr>
            <w:tcW w:type="dxa" w:w="3300"/>
            <w:tcMar>
              <w:top w:w="80" w:type="dxa"/>
              <w:start w:w="120" w:type="dxa"/>
              <w:bottom w:w="80" w:type="dxa"/>
              <w:end w:w="120" w:type="dxa"/>
            </w:tcMar>
            <w:shd w:fill="082345"/>
          </w:tcPr>
          <w:p>
            <w:pPr>
              <w:spacing w:after="0"/>
            </w:pPr>
            <w:r>
              <w:rPr>
                <w:rFonts w:ascii="Calibri" w:hAnsi="Calibri"/>
                <w:b/>
                <w:i w:val="0"/>
                <w:color w:val="FFFFFF"/>
                <w:sz w:val="17"/>
              </w:rPr>
              <w:t>Content / offer</w:t>
            </w:r>
          </w:p>
        </w:tc>
        <w:tc>
          <w:tcPr>
            <w:tcW w:type="dxa" w:w="1810"/>
            <w:tcMar>
              <w:top w:w="80" w:type="dxa"/>
              <w:start w:w="120" w:type="dxa"/>
              <w:bottom w:w="80" w:type="dxa"/>
              <w:end w:w="120" w:type="dxa"/>
            </w:tcMar>
            <w:shd w:fill="082345"/>
          </w:tcPr>
          <w:p>
            <w:pPr>
              <w:spacing w:after="0"/>
            </w:pPr>
            <w:r>
              <w:rPr>
                <w:rFonts w:ascii="Calibri" w:hAnsi="Calibri"/>
                <w:b/>
                <w:i w:val="0"/>
                <w:color w:val="FFFFFF"/>
                <w:sz w:val="17"/>
              </w:rPr>
              <w:t>Success metric</w:t>
            </w:r>
          </w:p>
        </w:tc>
      </w:tr>
      <w:tr>
        <w:tc>
          <w:tcPr>
            <w:tcW w:type="dxa" w:w="1500"/>
            <w:shd w:fill="FFFFFF"/>
          </w:tcPr>
          <w:p>
            <w:pPr>
              <w:spacing w:after="0"/>
            </w:pPr>
            <w:r>
              <w:rPr>
                <w:rFonts w:ascii="Calibri" w:hAnsi="Calibri"/>
                <w:b/>
                <w:i w:val="0"/>
                <w:color w:val="082345"/>
                <w:sz w:val="16"/>
              </w:rPr>
              <w:t>Awareness</w:t>
            </w:r>
          </w:p>
        </w:tc>
        <w:tc>
          <w:tcPr>
            <w:tcW w:type="dxa" w:w="2750"/>
            <w:shd w:fill="FFFFFF"/>
          </w:tcPr>
          <w:p>
            <w:pPr>
              <w:spacing w:after="0"/>
            </w:pPr>
            <w:r>
              <w:rPr>
                <w:rFonts w:ascii="Calibri" w:hAnsi="Calibri"/>
                <w:b w:val="0"/>
                <w:i w:val="0"/>
                <w:color w:val="14263D"/>
                <w:sz w:val="16"/>
              </w:rPr>
              <w:t>Why do our MDR and transmittals still consume so much time?</w:t>
            </w:r>
          </w:p>
        </w:tc>
        <w:tc>
          <w:tcPr>
            <w:tcW w:type="dxa" w:w="3300"/>
            <w:shd w:fill="FFFFFF"/>
          </w:tcPr>
          <w:p>
            <w:pPr>
              <w:spacing w:after="0"/>
            </w:pPr>
            <w:r>
              <w:rPr>
                <w:rFonts w:ascii="Calibri" w:hAnsi="Calibri"/>
                <w:b w:val="0"/>
                <w:i w:val="0"/>
                <w:color w:val="14263D"/>
                <w:sz w:val="16"/>
              </w:rPr>
              <w:t>Document Control Maturity Checklist; short workflow videos</w:t>
            </w:r>
          </w:p>
        </w:tc>
        <w:tc>
          <w:tcPr>
            <w:tcW w:type="dxa" w:w="1810"/>
            <w:shd w:fill="FFFFFF"/>
          </w:tcPr>
          <w:p>
            <w:pPr>
              <w:spacing w:after="0"/>
            </w:pPr>
            <w:r>
              <w:rPr>
                <w:rFonts w:ascii="Calibri" w:hAnsi="Calibri"/>
                <w:b w:val="0"/>
                <w:i w:val="0"/>
                <w:color w:val="14263D"/>
                <w:sz w:val="16"/>
              </w:rPr>
              <w:t>Relevant engagement and checklist downloads</w:t>
            </w:r>
          </w:p>
        </w:tc>
      </w:tr>
      <w:tr>
        <w:tc>
          <w:tcPr>
            <w:tcW w:type="dxa" w:w="1500"/>
            <w:shd w:fill="F4F7FA"/>
          </w:tcPr>
          <w:p>
            <w:pPr>
              <w:spacing w:after="0"/>
            </w:pPr>
            <w:r>
              <w:rPr>
                <w:rFonts w:ascii="Calibri" w:hAnsi="Calibri"/>
                <w:b/>
                <w:i w:val="0"/>
                <w:color w:val="082345"/>
                <w:sz w:val="16"/>
              </w:rPr>
              <w:t>Consideration</w:t>
            </w:r>
          </w:p>
        </w:tc>
        <w:tc>
          <w:tcPr>
            <w:tcW w:type="dxa" w:w="2750"/>
            <w:shd w:fill="F4F7FA"/>
          </w:tcPr>
          <w:p>
            <w:pPr>
              <w:spacing w:after="0"/>
            </w:pPr>
            <w:r>
              <w:rPr>
                <w:rFonts w:ascii="Calibri" w:hAnsi="Calibri"/>
                <w:b w:val="0"/>
                <w:i w:val="0"/>
                <w:color w:val="14263D"/>
                <w:sz w:val="16"/>
              </w:rPr>
              <w:t>Can EngiCite fit our project and roles?</w:t>
            </w:r>
          </w:p>
        </w:tc>
        <w:tc>
          <w:tcPr>
            <w:tcW w:type="dxa" w:w="3300"/>
            <w:shd w:fill="F4F7FA"/>
          </w:tcPr>
          <w:p>
            <w:pPr>
              <w:spacing w:after="0"/>
            </w:pPr>
            <w:r>
              <w:rPr>
                <w:rFonts w:ascii="Calibri" w:hAnsi="Calibri"/>
                <w:b w:val="0"/>
                <w:i w:val="0"/>
                <w:color w:val="14263D"/>
                <w:sz w:val="16"/>
              </w:rPr>
              <w:t>Role-based product tour; MDR import demonstration; security overview</w:t>
            </w:r>
          </w:p>
        </w:tc>
        <w:tc>
          <w:tcPr>
            <w:tcW w:type="dxa" w:w="1810"/>
            <w:shd w:fill="F4F7FA"/>
          </w:tcPr>
          <w:p>
            <w:pPr>
              <w:spacing w:after="0"/>
            </w:pPr>
            <w:r>
              <w:rPr>
                <w:rFonts w:ascii="Calibri" w:hAnsi="Calibri"/>
                <w:b w:val="0"/>
                <w:i w:val="0"/>
                <w:color w:val="14263D"/>
                <w:sz w:val="16"/>
              </w:rPr>
              <w:t>Qualified discovery meetings</w:t>
            </w:r>
          </w:p>
        </w:tc>
      </w:tr>
      <w:tr>
        <w:tc>
          <w:tcPr>
            <w:tcW w:type="dxa" w:w="1500"/>
            <w:shd w:fill="FFFFFF"/>
          </w:tcPr>
          <w:p>
            <w:pPr>
              <w:spacing w:after="0"/>
            </w:pPr>
            <w:r>
              <w:rPr>
                <w:rFonts w:ascii="Calibri" w:hAnsi="Calibri"/>
                <w:b/>
                <w:i w:val="0"/>
                <w:color w:val="082345"/>
                <w:sz w:val="16"/>
              </w:rPr>
              <w:t>Evaluation</w:t>
            </w:r>
          </w:p>
        </w:tc>
        <w:tc>
          <w:tcPr>
            <w:tcW w:type="dxa" w:w="2750"/>
            <w:shd w:fill="FFFFFF"/>
          </w:tcPr>
          <w:p>
            <w:pPr>
              <w:spacing w:after="0"/>
            </w:pPr>
            <w:r>
              <w:rPr>
                <w:rFonts w:ascii="Calibri" w:hAnsi="Calibri"/>
                <w:b w:val="0"/>
                <w:i w:val="0"/>
                <w:color w:val="14263D"/>
                <w:sz w:val="16"/>
              </w:rPr>
              <w:t>Will it work with our real records?</w:t>
            </w:r>
          </w:p>
        </w:tc>
        <w:tc>
          <w:tcPr>
            <w:tcW w:type="dxa" w:w="3300"/>
            <w:shd w:fill="FFFFFF"/>
          </w:tcPr>
          <w:p>
            <w:pPr>
              <w:spacing w:after="0"/>
            </w:pPr>
            <w:r>
              <w:rPr>
                <w:rFonts w:ascii="Calibri" w:hAnsi="Calibri"/>
                <w:b w:val="0"/>
                <w:i w:val="0"/>
                <w:color w:val="14263D"/>
                <w:sz w:val="16"/>
              </w:rPr>
              <w:t>One-project controlled pilot with agreed success criteria</w:t>
            </w:r>
          </w:p>
        </w:tc>
        <w:tc>
          <w:tcPr>
            <w:tcW w:type="dxa" w:w="1810"/>
            <w:shd w:fill="FFFFFF"/>
          </w:tcPr>
          <w:p>
            <w:pPr>
              <w:spacing w:after="0"/>
            </w:pPr>
            <w:r>
              <w:rPr>
                <w:rFonts w:ascii="Calibri" w:hAnsi="Calibri"/>
                <w:b w:val="0"/>
                <w:i w:val="0"/>
                <w:color w:val="14263D"/>
                <w:sz w:val="16"/>
              </w:rPr>
              <w:t>Pilot activation and weekly active users</w:t>
            </w:r>
          </w:p>
        </w:tc>
      </w:tr>
      <w:tr>
        <w:tc>
          <w:tcPr>
            <w:tcW w:type="dxa" w:w="1500"/>
            <w:shd w:fill="F4F7FA"/>
          </w:tcPr>
          <w:p>
            <w:pPr>
              <w:spacing w:after="0"/>
            </w:pPr>
            <w:r>
              <w:rPr>
                <w:rFonts w:ascii="Calibri" w:hAnsi="Calibri"/>
                <w:b/>
                <w:i w:val="0"/>
                <w:color w:val="082345"/>
                <w:sz w:val="16"/>
              </w:rPr>
              <w:t>Conversion</w:t>
            </w:r>
          </w:p>
        </w:tc>
        <w:tc>
          <w:tcPr>
            <w:tcW w:type="dxa" w:w="2750"/>
            <w:shd w:fill="F4F7FA"/>
          </w:tcPr>
          <w:p>
            <w:pPr>
              <w:spacing w:after="0"/>
            </w:pPr>
            <w:r>
              <w:rPr>
                <w:rFonts w:ascii="Calibri" w:hAnsi="Calibri"/>
                <w:b w:val="0"/>
                <w:i w:val="0"/>
                <w:color w:val="14263D"/>
                <w:sz w:val="16"/>
              </w:rPr>
              <w:t>Can we deploy safely and justify cost?</w:t>
            </w:r>
          </w:p>
        </w:tc>
        <w:tc>
          <w:tcPr>
            <w:tcW w:type="dxa" w:w="3300"/>
            <w:shd w:fill="F4F7FA"/>
          </w:tcPr>
          <w:p>
            <w:pPr>
              <w:spacing w:after="0"/>
            </w:pPr>
            <w:r>
              <w:rPr>
                <w:rFonts w:ascii="Calibri" w:hAnsi="Calibri"/>
                <w:b w:val="0"/>
                <w:i w:val="0"/>
                <w:color w:val="14263D"/>
                <w:sz w:val="16"/>
              </w:rPr>
              <w:t>Outcome report, implementation plan, security evidence and commercial proposal</w:t>
            </w:r>
          </w:p>
        </w:tc>
        <w:tc>
          <w:tcPr>
            <w:tcW w:type="dxa" w:w="1810"/>
            <w:shd w:fill="F4F7FA"/>
          </w:tcPr>
          <w:p>
            <w:pPr>
              <w:spacing w:after="0"/>
            </w:pPr>
            <w:r>
              <w:rPr>
                <w:rFonts w:ascii="Calibri" w:hAnsi="Calibri"/>
                <w:b w:val="0"/>
                <w:i w:val="0"/>
                <w:color w:val="14263D"/>
                <w:sz w:val="16"/>
              </w:rPr>
              <w:t>Paid project or annual subscription</w:t>
            </w:r>
          </w:p>
        </w:tc>
      </w:tr>
      <w:tr>
        <w:tc>
          <w:tcPr>
            <w:tcW w:type="dxa" w:w="1500"/>
            <w:shd w:fill="FFFFFF"/>
          </w:tcPr>
          <w:p>
            <w:pPr>
              <w:spacing w:after="0"/>
            </w:pPr>
            <w:r>
              <w:rPr>
                <w:rFonts w:ascii="Calibri" w:hAnsi="Calibri"/>
                <w:b/>
                <w:i w:val="0"/>
                <w:color w:val="082345"/>
                <w:sz w:val="16"/>
              </w:rPr>
              <w:t>Expansion</w:t>
            </w:r>
          </w:p>
        </w:tc>
        <w:tc>
          <w:tcPr>
            <w:tcW w:type="dxa" w:w="2750"/>
            <w:shd w:fill="FFFFFF"/>
          </w:tcPr>
          <w:p>
            <w:pPr>
              <w:spacing w:after="0"/>
            </w:pPr>
            <w:r>
              <w:rPr>
                <w:rFonts w:ascii="Calibri" w:hAnsi="Calibri"/>
                <w:b w:val="0"/>
                <w:i w:val="0"/>
                <w:color w:val="14263D"/>
                <w:sz w:val="16"/>
              </w:rPr>
              <w:t>Can we standardise across projects?</w:t>
            </w:r>
          </w:p>
        </w:tc>
        <w:tc>
          <w:tcPr>
            <w:tcW w:type="dxa" w:w="3300"/>
            <w:shd w:fill="FFFFFF"/>
          </w:tcPr>
          <w:p>
            <w:pPr>
              <w:spacing w:after="0"/>
            </w:pPr>
            <w:r>
              <w:rPr>
                <w:rFonts w:ascii="Calibri" w:hAnsi="Calibri"/>
                <w:b w:val="0"/>
                <w:i w:val="0"/>
                <w:color w:val="14263D"/>
                <w:sz w:val="16"/>
              </w:rPr>
              <w:t>Portfolio dashboard, reusable templates and champion enablement</w:t>
            </w:r>
          </w:p>
        </w:tc>
        <w:tc>
          <w:tcPr>
            <w:tcW w:type="dxa" w:w="1810"/>
            <w:shd w:fill="FFFFFF"/>
          </w:tcPr>
          <w:p>
            <w:pPr>
              <w:spacing w:after="0"/>
            </w:pPr>
            <w:r>
              <w:rPr>
                <w:rFonts w:ascii="Calibri" w:hAnsi="Calibri"/>
                <w:b w:val="0"/>
                <w:i w:val="0"/>
                <w:color w:val="14263D"/>
                <w:sz w:val="16"/>
              </w:rPr>
              <w:t>Additional projects, seats and storage</w:t>
            </w:r>
          </w:p>
        </w:tc>
      </w:tr>
    </w:tbl>
    <w:p>
      <w:pPr>
        <w:spacing w:after="100"/>
      </w:pPr>
    </w:p>
    <w:p>
      <w:pPr>
        <w:spacing w:after="120"/>
      </w:pPr>
      <w:r>
        <w:rPr>
          <w:rFonts w:ascii="Calibri" w:hAnsi="Calibri"/>
          <w:b/>
          <w:i w:val="0"/>
          <w:color w:val="14263D"/>
          <w:sz w:val="22"/>
        </w:rPr>
        <w:t>Packaging hypothesis - validate through pilots</w:t>
      </w:r>
      <w:r>
        <w:rPr>
          <w:rFonts w:ascii="Calibri" w:hAnsi="Calibri"/>
          <w:b w:val="0"/>
          <w:i w:val="0"/>
          <w:color w:val="14263D"/>
          <w:sz w:val="22"/>
        </w:rPr>
      </w:r>
    </w:p>
    <w:tbl>
      <w:tblPr>
        <w:tblW w:type="dxa" w:w="9360"/>
        <w:jc w:val="left"/>
        <w:tblLayout w:type="fixed"/>
        <w:tblLook w:firstColumn="1" w:firstRow="1" w:lastColumn="0" w:lastRow="0" w:noHBand="0" w:noVBand="1" w:val="04A0"/>
        <w:tblInd w:w="120" w:type="dxa"/>
        <w:tblBorders>
          <w:top w:val="single" w:sz="5" w:color="DDE5EC"/>
          <w:left w:val="single" w:sz="5" w:color="DDE5EC"/>
          <w:bottom w:val="single" w:sz="5" w:color="DDE5EC"/>
          <w:right w:val="single" w:sz="5" w:color="DDE5EC"/>
          <w:insideH w:val="single" w:sz="5" w:color="DDE5EC"/>
          <w:insideV w:val="single" w:sz="5" w:color="DDE5EC"/>
        </w:tblBorders>
      </w:tblPr>
      <w:tblGrid>
        <w:gridCol w:w="1650"/>
        <w:gridCol w:w="3550"/>
        <w:gridCol w:w="4160"/>
      </w:tblGrid>
      <w:tr>
        <w:trPr>
          <w:tblHeader w:val="true"/>
        </w:trPr>
        <w:tc>
          <w:tcPr>
            <w:tcW w:type="dxa" w:w="1650"/>
            <w:tcMar>
              <w:top w:w="80" w:type="dxa"/>
              <w:start w:w="120" w:type="dxa"/>
              <w:bottom w:w="80" w:type="dxa"/>
              <w:end w:w="120" w:type="dxa"/>
            </w:tcMar>
            <w:shd w:fill="082345"/>
          </w:tcPr>
          <w:p>
            <w:pPr>
              <w:spacing w:after="0"/>
            </w:pPr>
            <w:r>
              <w:rPr>
                <w:rFonts w:ascii="Calibri" w:hAnsi="Calibri"/>
                <w:b/>
                <w:i w:val="0"/>
                <w:color w:val="FFFFFF"/>
                <w:sz w:val="17"/>
              </w:rPr>
              <w:t>Package</w:t>
            </w:r>
          </w:p>
        </w:tc>
        <w:tc>
          <w:tcPr>
            <w:tcW w:type="dxa" w:w="3550"/>
            <w:tcMar>
              <w:top w:w="80" w:type="dxa"/>
              <w:start w:w="120" w:type="dxa"/>
              <w:bottom w:w="80" w:type="dxa"/>
              <w:end w:w="120" w:type="dxa"/>
            </w:tcMar>
            <w:shd w:fill="082345"/>
          </w:tcPr>
          <w:p>
            <w:pPr>
              <w:spacing w:after="0"/>
            </w:pPr>
            <w:r>
              <w:rPr>
                <w:rFonts w:ascii="Calibri" w:hAnsi="Calibri"/>
                <w:b/>
                <w:i w:val="0"/>
                <w:color w:val="FFFFFF"/>
                <w:sz w:val="17"/>
              </w:rPr>
              <w:t>Designed for</w:t>
            </w:r>
          </w:p>
        </w:tc>
        <w:tc>
          <w:tcPr>
            <w:tcW w:type="dxa" w:w="4160"/>
            <w:tcMar>
              <w:top w:w="80" w:type="dxa"/>
              <w:start w:w="120" w:type="dxa"/>
              <w:bottom w:w="80" w:type="dxa"/>
              <w:end w:w="120" w:type="dxa"/>
            </w:tcMar>
            <w:shd w:fill="082345"/>
          </w:tcPr>
          <w:p>
            <w:pPr>
              <w:spacing w:after="0"/>
            </w:pPr>
            <w:r>
              <w:rPr>
                <w:rFonts w:ascii="Calibri" w:hAnsi="Calibri"/>
                <w:b/>
                <w:i w:val="0"/>
                <w:color w:val="FFFFFF"/>
                <w:sz w:val="17"/>
              </w:rPr>
              <w:t>Commercial boundary</w:t>
            </w:r>
          </w:p>
        </w:tc>
      </w:tr>
      <w:tr>
        <w:tc>
          <w:tcPr>
            <w:tcW w:type="dxa" w:w="1650"/>
            <w:shd w:fill="FFFFFF"/>
          </w:tcPr>
          <w:p>
            <w:pPr>
              <w:spacing w:after="0"/>
            </w:pPr>
            <w:r>
              <w:rPr>
                <w:rFonts w:ascii="Calibri" w:hAnsi="Calibri"/>
                <w:b/>
                <w:i w:val="0"/>
                <w:color w:val="082345"/>
                <w:sz w:val="17"/>
              </w:rPr>
              <w:t>Pilot</w:t>
            </w:r>
          </w:p>
        </w:tc>
        <w:tc>
          <w:tcPr>
            <w:tcW w:type="dxa" w:w="3550"/>
            <w:shd w:fill="FFFFFF"/>
          </w:tcPr>
          <w:p>
            <w:pPr>
              <w:spacing w:after="0"/>
            </w:pPr>
            <w:r>
              <w:rPr>
                <w:rFonts w:ascii="Calibri" w:hAnsi="Calibri"/>
                <w:b w:val="0"/>
                <w:i w:val="0"/>
                <w:color w:val="14263D"/>
                <w:sz w:val="17"/>
              </w:rPr>
              <w:t>One project team proving the workflow</w:t>
            </w:r>
          </w:p>
        </w:tc>
        <w:tc>
          <w:tcPr>
            <w:tcW w:type="dxa" w:w="4160"/>
            <w:shd w:fill="FFFFFF"/>
          </w:tcPr>
          <w:p>
            <w:pPr>
              <w:spacing w:after="0"/>
            </w:pPr>
            <w:r>
              <w:rPr>
                <w:rFonts w:ascii="Calibri" w:hAnsi="Calibri"/>
                <w:b w:val="0"/>
                <w:i w:val="0"/>
                <w:color w:val="14263D"/>
                <w:sz w:val="17"/>
              </w:rPr>
              <w:t>Limited term, project, seats and storage; guided onboarding; AI optional</w:t>
            </w:r>
          </w:p>
        </w:tc>
      </w:tr>
      <w:tr>
        <w:tc>
          <w:tcPr>
            <w:tcW w:type="dxa" w:w="1650"/>
            <w:shd w:fill="F4F7FA"/>
          </w:tcPr>
          <w:p>
            <w:pPr>
              <w:spacing w:after="0"/>
            </w:pPr>
            <w:r>
              <w:rPr>
                <w:rFonts w:ascii="Calibri" w:hAnsi="Calibri"/>
                <w:b/>
                <w:i w:val="0"/>
                <w:color w:val="082345"/>
                <w:sz w:val="17"/>
              </w:rPr>
              <w:t>Project</w:t>
            </w:r>
          </w:p>
        </w:tc>
        <w:tc>
          <w:tcPr>
            <w:tcW w:type="dxa" w:w="3550"/>
            <w:shd w:fill="F4F7FA"/>
          </w:tcPr>
          <w:p>
            <w:pPr>
              <w:spacing w:after="0"/>
            </w:pPr>
            <w:r>
              <w:rPr>
                <w:rFonts w:ascii="Calibri" w:hAnsi="Calibri"/>
                <w:b w:val="0"/>
                <w:i w:val="0"/>
                <w:color w:val="14263D"/>
                <w:sz w:val="17"/>
              </w:rPr>
              <w:t>A consultancy or contractor running active projects</w:t>
            </w:r>
          </w:p>
        </w:tc>
        <w:tc>
          <w:tcPr>
            <w:tcW w:type="dxa" w:w="4160"/>
            <w:shd w:fill="F4F7FA"/>
          </w:tcPr>
          <w:p>
            <w:pPr>
              <w:spacing w:after="0"/>
            </w:pPr>
            <w:r>
              <w:rPr>
                <w:rFonts w:ascii="Calibri" w:hAnsi="Calibri"/>
                <w:b w:val="0"/>
                <w:i w:val="0"/>
                <w:color w:val="14263D"/>
                <w:sz w:val="17"/>
              </w:rPr>
              <w:t>Multiple roles, MDR, revisions, reporting, transmittals and defined usage limits</w:t>
            </w:r>
          </w:p>
        </w:tc>
      </w:tr>
      <w:tr>
        <w:tc>
          <w:tcPr>
            <w:tcW w:type="dxa" w:w="1650"/>
            <w:shd w:fill="FFFFFF"/>
          </w:tcPr>
          <w:p>
            <w:pPr>
              <w:spacing w:after="0"/>
            </w:pPr>
            <w:r>
              <w:rPr>
                <w:rFonts w:ascii="Calibri" w:hAnsi="Calibri"/>
                <w:b/>
                <w:i w:val="0"/>
                <w:color w:val="082345"/>
                <w:sz w:val="17"/>
              </w:rPr>
              <w:t>Enterprise</w:t>
            </w:r>
          </w:p>
        </w:tc>
        <w:tc>
          <w:tcPr>
            <w:tcW w:type="dxa" w:w="3550"/>
            <w:shd w:fill="FFFFFF"/>
          </w:tcPr>
          <w:p>
            <w:pPr>
              <w:spacing w:after="0"/>
            </w:pPr>
            <w:r>
              <w:rPr>
                <w:rFonts w:ascii="Calibri" w:hAnsi="Calibri"/>
                <w:b w:val="0"/>
                <w:i w:val="0"/>
                <w:color w:val="14263D"/>
                <w:sz w:val="17"/>
              </w:rPr>
              <w:t>Owner-operators and multi-project organisations</w:t>
            </w:r>
          </w:p>
        </w:tc>
        <w:tc>
          <w:tcPr>
            <w:tcW w:type="dxa" w:w="4160"/>
            <w:shd w:fill="FFFFFF"/>
          </w:tcPr>
          <w:p>
            <w:pPr>
              <w:spacing w:after="0"/>
            </w:pPr>
            <w:r>
              <w:rPr>
                <w:rFonts w:ascii="Calibri" w:hAnsi="Calibri"/>
                <w:b w:val="0"/>
                <w:i w:val="0"/>
                <w:color w:val="14263D"/>
                <w:sz w:val="17"/>
              </w:rPr>
              <w:t>Portfolio controls, SSO/SCIM, private connectivity/region options, advanced retention and integrations</w:t>
            </w:r>
          </w:p>
        </w:tc>
      </w:tr>
    </w:tbl>
    <w:p>
      <w:pPr>
        <w:pStyle w:val="SmallNote"/>
        <w:spacing w:before="120"/>
      </w:pPr>
      <w:r>
        <w:t>Do not publish fixed prices until at least three pilot discovery cycles establish seat counts, storage, implementation effort and willingness to pay. Price the controlled project outcome, not the number of documents.</w:t>
      </w:r>
    </w:p>
    <w:p>
      <w:r>
        <w:br w:type="page"/>
      </w:r>
    </w:p>
    <w:p>
      <w:pPr>
        <w:pStyle w:val="Kicker"/>
      </w:pPr>
      <w:r>
        <w:t>MEASUREMENT AND NEXT DECISIONS</w:t>
      </w:r>
    </w:p>
    <w:p>
      <w:pPr>
        <w:keepNext/>
        <w:spacing w:before="0" w:after="160"/>
        <w:jc w:val="left"/>
      </w:pPr>
      <w:r>
        <w:rPr>
          <w:rFonts w:ascii="Calibri" w:hAnsi="Calibri"/>
          <w:b/>
          <w:i w:val="0"/>
          <w:color w:val="082345"/>
          <w:sz w:val="44"/>
        </w:rPr>
        <w:t>Prove adoption, control quality and commercial value</w:t>
      </w:r>
    </w:p>
    <w:p>
      <w:pPr>
        <w:spacing w:after="240" w:line="293" w:lineRule="auto"/>
        <w:jc w:val="left"/>
      </w:pPr>
      <w:r>
        <w:rPr>
          <w:rFonts w:ascii="Calibri" w:hAnsi="Calibri"/>
          <w:b w:val="0"/>
          <w:i w:val="0"/>
          <w:color w:val="5E6B7A"/>
          <w:sz w:val="23"/>
        </w:rPr>
        <w:t>A successful launch should show that teams complete controlled work faster and with fewer avoidable errors - not merely that users signed in.</w:t>
      </w:r>
    </w:p>
    <w:tbl>
      <w:tblPr>
        <w:tblW w:type="dxa" w:w="9360"/>
        <w:jc w:val="left"/>
        <w:tblLayout w:type="fixed"/>
        <w:tblLook w:firstColumn="1" w:firstRow="1" w:lastColumn="0" w:lastRow="0" w:noHBand="0" w:noVBand="1" w:val="04A0"/>
        <w:tblInd w:w="120" w:type="dxa"/>
        <w:tblBorders>
          <w:top w:val="single" w:sz="5" w:color="DDE5EC"/>
          <w:left w:val="single" w:sz="5" w:color="DDE5EC"/>
          <w:bottom w:val="single" w:sz="5" w:color="DDE5EC"/>
          <w:right w:val="single" w:sz="5" w:color="DDE5EC"/>
          <w:insideH w:val="single" w:sz="5" w:color="DDE5EC"/>
          <w:insideV w:val="single" w:sz="5" w:color="DDE5EC"/>
        </w:tblBorders>
      </w:tblPr>
      <w:tblGrid>
        <w:gridCol w:w="2100"/>
        <w:gridCol w:w="3900"/>
        <w:gridCol w:w="3360"/>
      </w:tblGrid>
      <w:tr>
        <w:trPr>
          <w:tblHeader w:val="true"/>
        </w:trPr>
        <w:tc>
          <w:tcPr>
            <w:tcW w:type="dxa" w:w="2100"/>
            <w:tcMar>
              <w:top w:w="80" w:type="dxa"/>
              <w:start w:w="120" w:type="dxa"/>
              <w:bottom w:w="80" w:type="dxa"/>
              <w:end w:w="120" w:type="dxa"/>
            </w:tcMar>
            <w:shd w:fill="082345"/>
          </w:tcPr>
          <w:p>
            <w:pPr>
              <w:spacing w:after="0"/>
            </w:pPr>
            <w:r>
              <w:rPr>
                <w:rFonts w:ascii="Calibri" w:hAnsi="Calibri"/>
                <w:b/>
                <w:i w:val="0"/>
                <w:color w:val="FFFFFF"/>
                <w:sz w:val="17"/>
              </w:rPr>
              <w:t>Measure</w:t>
            </w:r>
          </w:p>
        </w:tc>
        <w:tc>
          <w:tcPr>
            <w:tcW w:type="dxa" w:w="3900"/>
            <w:tcMar>
              <w:top w:w="80" w:type="dxa"/>
              <w:start w:w="120" w:type="dxa"/>
              <w:bottom w:w="80" w:type="dxa"/>
              <w:end w:w="120" w:type="dxa"/>
            </w:tcMar>
            <w:shd w:fill="082345"/>
          </w:tcPr>
          <w:p>
            <w:pPr>
              <w:spacing w:after="0"/>
            </w:pPr>
            <w:r>
              <w:rPr>
                <w:rFonts w:ascii="Calibri" w:hAnsi="Calibri"/>
                <w:b/>
                <w:i w:val="0"/>
                <w:color w:val="FFFFFF"/>
                <w:sz w:val="17"/>
              </w:rPr>
              <w:t>Pilot definition</w:t>
            </w:r>
          </w:p>
        </w:tc>
        <w:tc>
          <w:tcPr>
            <w:tcW w:type="dxa" w:w="3360"/>
            <w:tcMar>
              <w:top w:w="80" w:type="dxa"/>
              <w:start w:w="120" w:type="dxa"/>
              <w:bottom w:w="80" w:type="dxa"/>
              <w:end w:w="120" w:type="dxa"/>
            </w:tcMar>
            <w:shd w:fill="082345"/>
          </w:tcPr>
          <w:p>
            <w:pPr>
              <w:spacing w:after="0"/>
            </w:pPr>
            <w:r>
              <w:rPr>
                <w:rFonts w:ascii="Calibri" w:hAnsi="Calibri"/>
                <w:b/>
                <w:i w:val="0"/>
                <w:color w:val="FFFFFF"/>
                <w:sz w:val="17"/>
              </w:rPr>
              <w:t>Why it matters</w:t>
            </w:r>
          </w:p>
        </w:tc>
      </w:tr>
      <w:tr>
        <w:tc>
          <w:tcPr>
            <w:tcW w:type="dxa" w:w="2100"/>
            <w:shd w:fill="FFFFFF"/>
          </w:tcPr>
          <w:p>
            <w:pPr>
              <w:spacing w:after="0"/>
            </w:pPr>
            <w:r>
              <w:rPr>
                <w:rFonts w:ascii="Calibri" w:hAnsi="Calibri"/>
                <w:b/>
                <w:i w:val="0"/>
                <w:color w:val="082345"/>
                <w:sz w:val="17"/>
              </w:rPr>
              <w:t>Time to first controlled project</w:t>
            </w:r>
          </w:p>
        </w:tc>
        <w:tc>
          <w:tcPr>
            <w:tcW w:type="dxa" w:w="3900"/>
            <w:shd w:fill="FFFFFF"/>
          </w:tcPr>
          <w:p>
            <w:pPr>
              <w:spacing w:after="0"/>
            </w:pPr>
            <w:r>
              <w:rPr>
                <w:rFonts w:ascii="Calibri" w:hAnsi="Calibri"/>
                <w:b w:val="0"/>
                <w:i w:val="0"/>
                <w:color w:val="14263D"/>
                <w:sz w:val="17"/>
              </w:rPr>
              <w:t>Days from agreement to MDR imported, roles assigned and first revision accepted</w:t>
            </w:r>
          </w:p>
        </w:tc>
        <w:tc>
          <w:tcPr>
            <w:tcW w:type="dxa" w:w="3360"/>
            <w:shd w:fill="FFFFFF"/>
          </w:tcPr>
          <w:p>
            <w:pPr>
              <w:spacing w:after="0"/>
            </w:pPr>
            <w:r>
              <w:rPr>
                <w:rFonts w:ascii="Calibri" w:hAnsi="Calibri"/>
                <w:b w:val="0"/>
                <w:i w:val="0"/>
                <w:color w:val="14263D"/>
                <w:sz w:val="17"/>
              </w:rPr>
              <w:t>Tests onboarding friction and implementation cost</w:t>
            </w:r>
          </w:p>
        </w:tc>
      </w:tr>
      <w:tr>
        <w:tc>
          <w:tcPr>
            <w:tcW w:type="dxa" w:w="2100"/>
            <w:shd w:fill="F4F7FA"/>
          </w:tcPr>
          <w:p>
            <w:pPr>
              <w:spacing w:after="0"/>
            </w:pPr>
            <w:r>
              <w:rPr>
                <w:rFonts w:ascii="Calibri" w:hAnsi="Calibri"/>
                <w:b/>
                <w:i w:val="0"/>
                <w:color w:val="082345"/>
                <w:sz w:val="17"/>
              </w:rPr>
              <w:t>DCC cycle time</w:t>
            </w:r>
          </w:p>
        </w:tc>
        <w:tc>
          <w:tcPr>
            <w:tcW w:type="dxa" w:w="3900"/>
            <w:shd w:fill="F4F7FA"/>
          </w:tcPr>
          <w:p>
            <w:pPr>
              <w:spacing w:after="0"/>
            </w:pPr>
            <w:r>
              <w:rPr>
                <w:rFonts w:ascii="Calibri" w:hAnsi="Calibri"/>
                <w:b w:val="0"/>
                <w:i w:val="0"/>
                <w:color w:val="14263D"/>
                <w:sz w:val="17"/>
              </w:rPr>
              <w:t>Submission to accepted/returned decision</w:t>
            </w:r>
          </w:p>
        </w:tc>
        <w:tc>
          <w:tcPr>
            <w:tcW w:type="dxa" w:w="3360"/>
            <w:shd w:fill="F4F7FA"/>
          </w:tcPr>
          <w:p>
            <w:pPr>
              <w:spacing w:after="0"/>
            </w:pPr>
            <w:r>
              <w:rPr>
                <w:rFonts w:ascii="Calibri" w:hAnsi="Calibri"/>
                <w:b w:val="0"/>
                <w:i w:val="0"/>
                <w:color w:val="14263D"/>
                <w:sz w:val="17"/>
              </w:rPr>
              <w:t>Measures operational responsiveness</w:t>
            </w:r>
          </w:p>
        </w:tc>
      </w:tr>
      <w:tr>
        <w:tc>
          <w:tcPr>
            <w:tcW w:type="dxa" w:w="2100"/>
            <w:shd w:fill="FFFFFF"/>
          </w:tcPr>
          <w:p>
            <w:pPr>
              <w:spacing w:after="0"/>
            </w:pPr>
            <w:r>
              <w:rPr>
                <w:rFonts w:ascii="Calibri" w:hAnsi="Calibri"/>
                <w:b/>
                <w:i w:val="0"/>
                <w:color w:val="082345"/>
                <w:sz w:val="17"/>
              </w:rPr>
              <w:t>On-time submission rate</w:t>
            </w:r>
          </w:p>
        </w:tc>
        <w:tc>
          <w:tcPr>
            <w:tcW w:type="dxa" w:w="3900"/>
            <w:shd w:fill="FFFFFF"/>
          </w:tcPr>
          <w:p>
            <w:pPr>
              <w:spacing w:after="0"/>
            </w:pPr>
            <w:r>
              <w:rPr>
                <w:rFonts w:ascii="Calibri" w:hAnsi="Calibri"/>
                <w:b w:val="0"/>
                <w:i w:val="0"/>
                <w:color w:val="14263D"/>
                <w:sz w:val="17"/>
              </w:rPr>
              <w:t>Due deliverables submitted by planned date</w:t>
            </w:r>
          </w:p>
        </w:tc>
        <w:tc>
          <w:tcPr>
            <w:tcW w:type="dxa" w:w="3360"/>
            <w:shd w:fill="FFFFFF"/>
          </w:tcPr>
          <w:p>
            <w:pPr>
              <w:spacing w:after="0"/>
            </w:pPr>
            <w:r>
              <w:rPr>
                <w:rFonts w:ascii="Calibri" w:hAnsi="Calibri"/>
                <w:b w:val="0"/>
                <w:i w:val="0"/>
                <w:color w:val="14263D"/>
                <w:sz w:val="17"/>
              </w:rPr>
              <w:t>Connects EngiCite to project performance</w:t>
            </w:r>
          </w:p>
        </w:tc>
      </w:tr>
      <w:tr>
        <w:tc>
          <w:tcPr>
            <w:tcW w:type="dxa" w:w="2100"/>
            <w:shd w:fill="F4F7FA"/>
          </w:tcPr>
          <w:p>
            <w:pPr>
              <w:spacing w:after="0"/>
            </w:pPr>
            <w:r>
              <w:rPr>
                <w:rFonts w:ascii="Calibri" w:hAnsi="Calibri"/>
                <w:b/>
                <w:i w:val="0"/>
                <w:color w:val="082345"/>
                <w:sz w:val="17"/>
              </w:rPr>
              <w:t>Revision rework rate</w:t>
            </w:r>
          </w:p>
        </w:tc>
        <w:tc>
          <w:tcPr>
            <w:tcW w:type="dxa" w:w="3900"/>
            <w:shd w:fill="F4F7FA"/>
          </w:tcPr>
          <w:p>
            <w:pPr>
              <w:spacing w:after="0"/>
            </w:pPr>
            <w:r>
              <w:rPr>
                <w:rFonts w:ascii="Calibri" w:hAnsi="Calibri"/>
                <w:b w:val="0"/>
                <w:i w:val="0"/>
                <w:color w:val="14263D"/>
                <w:sz w:val="17"/>
              </w:rPr>
              <w:t>Submissions returned for metadata/file nonconformance</w:t>
            </w:r>
          </w:p>
        </w:tc>
        <w:tc>
          <w:tcPr>
            <w:tcW w:type="dxa" w:w="3360"/>
            <w:shd w:fill="F4F7FA"/>
          </w:tcPr>
          <w:p>
            <w:pPr>
              <w:spacing w:after="0"/>
            </w:pPr>
            <w:r>
              <w:rPr>
                <w:rFonts w:ascii="Calibri" w:hAnsi="Calibri"/>
                <w:b w:val="0"/>
                <w:i w:val="0"/>
                <w:color w:val="14263D"/>
                <w:sz w:val="17"/>
              </w:rPr>
              <w:t>Measures quality improvement</w:t>
            </w:r>
          </w:p>
        </w:tc>
      </w:tr>
      <w:tr>
        <w:tc>
          <w:tcPr>
            <w:tcW w:type="dxa" w:w="2100"/>
            <w:shd w:fill="FFFFFF"/>
          </w:tcPr>
          <w:p>
            <w:pPr>
              <w:spacing w:after="0"/>
            </w:pPr>
            <w:r>
              <w:rPr>
                <w:rFonts w:ascii="Calibri" w:hAnsi="Calibri"/>
                <w:b/>
                <w:i w:val="0"/>
                <w:color w:val="082345"/>
                <w:sz w:val="17"/>
              </w:rPr>
              <w:t>Transmittal preparation time</w:t>
            </w:r>
          </w:p>
        </w:tc>
        <w:tc>
          <w:tcPr>
            <w:tcW w:type="dxa" w:w="3900"/>
            <w:shd w:fill="FFFFFF"/>
          </w:tcPr>
          <w:p>
            <w:pPr>
              <w:spacing w:after="0"/>
            </w:pPr>
            <w:r>
              <w:rPr>
                <w:rFonts w:ascii="Calibri" w:hAnsi="Calibri"/>
                <w:b w:val="0"/>
                <w:i w:val="0"/>
                <w:color w:val="14263D"/>
                <w:sz w:val="17"/>
              </w:rPr>
              <w:t>Minutes from selection to completed issue package</w:t>
            </w:r>
          </w:p>
        </w:tc>
        <w:tc>
          <w:tcPr>
            <w:tcW w:type="dxa" w:w="3360"/>
            <w:shd w:fill="FFFFFF"/>
          </w:tcPr>
          <w:p>
            <w:pPr>
              <w:spacing w:after="0"/>
            </w:pPr>
            <w:r>
              <w:rPr>
                <w:rFonts w:ascii="Calibri" w:hAnsi="Calibri"/>
                <w:b w:val="0"/>
                <w:i w:val="0"/>
                <w:color w:val="14263D"/>
                <w:sz w:val="17"/>
              </w:rPr>
              <w:t>Quantifies direct DCC time saving</w:t>
            </w:r>
          </w:p>
        </w:tc>
      </w:tr>
      <w:tr>
        <w:tc>
          <w:tcPr>
            <w:tcW w:type="dxa" w:w="2100"/>
            <w:shd w:fill="F4F7FA"/>
          </w:tcPr>
          <w:p>
            <w:pPr>
              <w:spacing w:after="0"/>
            </w:pPr>
            <w:r>
              <w:rPr>
                <w:rFonts w:ascii="Calibri" w:hAnsi="Calibri"/>
                <w:b/>
                <w:i w:val="0"/>
                <w:color w:val="082345"/>
                <w:sz w:val="17"/>
              </w:rPr>
              <w:t>Evidence retrieval time</w:t>
            </w:r>
          </w:p>
        </w:tc>
        <w:tc>
          <w:tcPr>
            <w:tcW w:type="dxa" w:w="3900"/>
            <w:shd w:fill="F4F7FA"/>
          </w:tcPr>
          <w:p>
            <w:pPr>
              <w:spacing w:after="0"/>
            </w:pPr>
            <w:r>
              <w:rPr>
                <w:rFonts w:ascii="Calibri" w:hAnsi="Calibri"/>
                <w:b w:val="0"/>
                <w:i w:val="0"/>
                <w:color w:val="14263D"/>
                <w:sz w:val="17"/>
              </w:rPr>
              <w:t>Time to find the correct revision/page for a question</w:t>
            </w:r>
          </w:p>
        </w:tc>
        <w:tc>
          <w:tcPr>
            <w:tcW w:type="dxa" w:w="3360"/>
            <w:shd w:fill="F4F7FA"/>
          </w:tcPr>
          <w:p>
            <w:pPr>
              <w:spacing w:after="0"/>
            </w:pPr>
            <w:r>
              <w:rPr>
                <w:rFonts w:ascii="Calibri" w:hAnsi="Calibri"/>
                <w:b w:val="0"/>
                <w:i w:val="0"/>
                <w:color w:val="14263D"/>
                <w:sz w:val="17"/>
              </w:rPr>
              <w:t>Quantifies search and AI value</w:t>
            </w:r>
          </w:p>
        </w:tc>
      </w:tr>
      <w:tr>
        <w:tc>
          <w:tcPr>
            <w:tcW w:type="dxa" w:w="2100"/>
            <w:shd w:fill="FFFFFF"/>
          </w:tcPr>
          <w:p>
            <w:pPr>
              <w:spacing w:after="0"/>
            </w:pPr>
            <w:r>
              <w:rPr>
                <w:rFonts w:ascii="Calibri" w:hAnsi="Calibri"/>
                <w:b/>
                <w:i w:val="0"/>
                <w:color w:val="082345"/>
                <w:sz w:val="17"/>
              </w:rPr>
              <w:t>Pilot-to-paid conversion</w:t>
            </w:r>
          </w:p>
        </w:tc>
        <w:tc>
          <w:tcPr>
            <w:tcW w:type="dxa" w:w="3900"/>
            <w:shd w:fill="FFFFFF"/>
          </w:tcPr>
          <w:p>
            <w:pPr>
              <w:spacing w:after="0"/>
            </w:pPr>
            <w:r>
              <w:rPr>
                <w:rFonts w:ascii="Calibri" w:hAnsi="Calibri"/>
                <w:b w:val="0"/>
                <w:i w:val="0"/>
                <w:color w:val="14263D"/>
                <w:sz w:val="17"/>
              </w:rPr>
              <w:t>Pilots converting to a project or annual plan</w:t>
            </w:r>
          </w:p>
        </w:tc>
        <w:tc>
          <w:tcPr>
            <w:tcW w:type="dxa" w:w="3360"/>
            <w:shd w:fill="FFFFFF"/>
          </w:tcPr>
          <w:p>
            <w:pPr>
              <w:spacing w:after="0"/>
            </w:pPr>
            <w:r>
              <w:rPr>
                <w:rFonts w:ascii="Calibri" w:hAnsi="Calibri"/>
                <w:b w:val="0"/>
                <w:i w:val="0"/>
                <w:color w:val="14263D"/>
                <w:sz w:val="17"/>
              </w:rPr>
              <w:t>Tests commercial fit</w:t>
            </w:r>
          </w:p>
        </w:tc>
      </w:tr>
    </w:tbl>
    <w:p>
      <w:pPr>
        <w:spacing w:after="100"/>
      </w:pP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9360"/>
      </w:tblGrid>
      <w:tr>
        <w:tc>
          <w:tcPr>
            <w:tcW w:type="dxa" w:w="9360"/>
            <w:tcMar>
              <w:top w:w="220" w:type="dxa"/>
              <w:start w:w="260" w:type="dxa"/>
              <w:bottom w:w="220" w:type="dxa"/>
              <w:end w:w="260" w:type="dxa"/>
            </w:tcMar>
            <w:shd w:fill="082345"/>
          </w:tcPr>
          <w:p>
            <w:pPr>
              <w:spacing w:after="100"/>
            </w:pPr>
            <w:r>
              <w:rPr>
                <w:rFonts w:ascii="Calibri" w:hAnsi="Calibri"/>
                <w:b/>
                <w:i w:val="0"/>
                <w:color w:val="ED7138"/>
                <w:sz w:val="18"/>
              </w:rPr>
              <w:t>IMMEDIATE NEXT DECISION</w:t>
            </w:r>
          </w:p>
          <w:p>
            <w:pPr>
              <w:spacing w:after="0" w:line="283" w:lineRule="auto"/>
            </w:pPr>
            <w:r>
              <w:rPr>
                <w:rFonts w:ascii="Calibri" w:hAnsi="Calibri"/>
                <w:b/>
                <w:i w:val="0"/>
                <w:color w:val="FFFFFF"/>
                <w:sz w:val="26"/>
              </w:rPr>
              <w:t>SELECT ONE REPRESENTATIVE PROJECT AND DEFINE A PILOT SCORECARD BEFORE ADDING MORE FEATURE SCOPE.</w:t>
            </w:r>
          </w:p>
        </w:tc>
      </w:tr>
    </w:tbl>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480"/>
        <w:gridCol w:w="8880"/>
      </w:tblGrid>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1. </w:t>
            </w:r>
            <w:r>
              <w:rPr>
                <w:rFonts w:ascii="Calibri" w:hAnsi="Calibri"/>
                <w:b w:val="0"/>
                <w:i w:val="0"/>
                <w:color w:val="14263D"/>
                <w:sz w:val="18"/>
              </w:rPr>
              <w:t>Prepare a clean demonstration organisation with approved fictitious project, client and document data.</w:t>
            </w:r>
          </w:p>
        </w:tc>
      </w:tr>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2. </w:t>
            </w:r>
            <w:r>
              <w:rPr>
                <w:rFonts w:ascii="Calibri" w:hAnsi="Calibri"/>
                <w:b w:val="0"/>
                <w:i w:val="0"/>
                <w:color w:val="14263D"/>
                <w:sz w:val="18"/>
              </w:rPr>
              <w:t>Complete production email, AI, processing, monitoring, backup and security evidence gates.</w:t>
            </w:r>
          </w:p>
        </w:tc>
      </w:tr>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3. </w:t>
            </w:r>
            <w:r>
              <w:rPr>
                <w:rFonts w:ascii="Calibri" w:hAnsi="Calibri"/>
                <w:b w:val="0"/>
                <w:i w:val="0"/>
                <w:color w:val="14263D"/>
                <w:sz w:val="18"/>
              </w:rPr>
              <w:t>Recruit two DCC-led design partners and agree measurable before/after outcomes.</w:t>
            </w:r>
          </w:p>
        </w:tc>
      </w:tr>
      <w:tr>
        <w:tc>
          <w:tcPr>
            <w:tcW w:type="dxa" w:w="480"/>
            <w:tcMar>
              <w:top w:w="80" w:type="dxa"/>
              <w:start w:w="120" w:type="dxa"/>
              <w:bottom w:w="80" w:type="dxa"/>
              <w:end w:w="120" w:type="dxa"/>
            </w:tcMar>
            <w:shd w:fill="F4F7FA"/>
            <w:vAlign w:val="center"/>
          </w:tcPr>
          <w:p>
            <w:pPr>
              <w:spacing w:after="0"/>
              <w:jc w:val="center"/>
            </w:pPr>
            <w:r>
              <w:rPr>
                <w:rFonts w:ascii="Calibri" w:hAnsi="Calibri"/>
                <w:b/>
                <w:i w:val="0"/>
                <w:color w:val="ED7138"/>
                <w:sz w:val="26"/>
              </w:rPr>
              <w:t>•</w:t>
            </w:r>
          </w:p>
        </w:tc>
        <w:tc>
          <w:tcPr>
            <w:tcW w:type="dxa" w:w="8880"/>
            <w:tcMar>
              <w:top w:w="80" w:type="dxa"/>
              <w:start w:w="120" w:type="dxa"/>
              <w:bottom w:w="80" w:type="dxa"/>
              <w:end w:w="120" w:type="dxa"/>
            </w:tcMar>
            <w:shd w:fill="F4F7FA"/>
            <w:vAlign w:val="center"/>
          </w:tcPr>
          <w:p>
            <w:pPr>
              <w:spacing w:after="60" w:before="60"/>
            </w:pPr>
            <w:r>
              <w:rPr>
                <w:rFonts w:ascii="Calibri" w:hAnsi="Calibri"/>
                <w:b/>
                <w:i w:val="0"/>
                <w:color w:val="14263D"/>
                <w:sz w:val="18"/>
              </w:rPr>
              <w:t xml:space="preserve">4. </w:t>
            </w:r>
            <w:r>
              <w:rPr>
                <w:rFonts w:ascii="Calibri" w:hAnsi="Calibri"/>
                <w:b w:val="0"/>
                <w:i w:val="0"/>
                <w:color w:val="14263D"/>
                <w:sz w:val="18"/>
              </w:rPr>
              <w:t>Record the 12-minute demo and produce a one-page pilot offer from this blueprint.</w:t>
            </w:r>
          </w:p>
        </w:tc>
      </w:tr>
    </w:tbl>
    <w:p>
      <w:pPr>
        <w:spacing w:after="0"/>
      </w:pPr>
    </w:p>
    <w:p>
      <w:r>
        <w:br w:type="page"/>
      </w:r>
    </w:p>
    <w:p/>
    <w:p/>
    <w:p/>
    <w:p/>
    <w:p>
      <w:pPr>
        <w:jc w:val="center"/>
      </w:pPr>
      <w:r>
        <w:drawing>
          <wp:inline xmlns:a="http://schemas.openxmlformats.org/drawingml/2006/main" xmlns:pic="http://schemas.openxmlformats.org/drawingml/2006/picture">
            <wp:extent cx="4023360" cy="1901666"/>
            <wp:docPr id="17" name="Picture 17"/>
            <wp:cNvGraphicFramePr>
              <a:graphicFrameLocks noChangeAspect="1"/>
            </wp:cNvGraphicFramePr>
            <a:graphic>
              <a:graphicData uri="http://schemas.openxmlformats.org/drawingml/2006/picture">
                <pic:pic>
                  <pic:nvPicPr>
                    <pic:cNvPr id="0" name="engicite-logo-transparent.png"/>
                    <pic:cNvPicPr/>
                  </pic:nvPicPr>
                  <pic:blipFill>
                    <a:blip r:embed="rId12"/>
                    <a:stretch>
                      <a:fillRect/>
                    </a:stretch>
                  </pic:blipFill>
                  <pic:spPr>
                    <a:xfrm>
                      <a:off x="0" y="0"/>
                      <a:ext cx="4023360" cy="1901666"/>
                    </a:xfrm>
                    <a:prstGeom prst="rect"/>
                  </pic:spPr>
                </pic:pic>
              </a:graphicData>
            </a:graphic>
          </wp:inline>
        </w:drawing>
      </w:r>
    </w:p>
    <w:p>
      <w:pPr>
        <w:keepNext/>
        <w:spacing w:before="0" w:after="280"/>
        <w:jc w:val="center"/>
      </w:pPr>
      <w:r>
        <w:rPr>
          <w:rFonts w:ascii="Calibri" w:hAnsi="Calibri"/>
          <w:b/>
          <w:i w:val="0"/>
          <w:color w:val="082345"/>
          <w:sz w:val="56"/>
        </w:rPr>
        <w:t>Know the answer. Cite the proof.</w:t>
      </w:r>
    </w:p>
    <w:p>
      <w:pPr>
        <w:spacing w:after="480" w:line="293" w:lineRule="auto"/>
        <w:jc w:val="center"/>
      </w:pPr>
      <w:r>
        <w:rPr>
          <w:rFonts w:ascii="Calibri" w:hAnsi="Calibri"/>
          <w:b w:val="0"/>
          <w:i w:val="0"/>
          <w:color w:val="5E6B7A"/>
          <w:sz w:val="23"/>
        </w:rPr>
        <w:t>EngiCite connects the engineering delivery plan, controlled document record and project evidence into one secure workflow.</w:t>
      </w:r>
    </w:p>
    <w:p>
      <w:pPr>
        <w:jc w:val="center"/>
      </w:pPr>
      <w:r>
        <w:rPr>
          <w:rFonts w:ascii="Calibri" w:hAnsi="Calibri"/>
          <w:b/>
          <w:i w:val="0"/>
          <w:color w:val="ED7138"/>
          <w:sz w:val="20"/>
        </w:rPr>
        <w:t>CONTROL EVERY DELIVERABLE  |  CITE EVERY DECISION</w:t>
      </w:r>
    </w:p>
    <w:p>
      <w:pPr>
        <w:pStyle w:val="SmallNote"/>
        <w:spacing w:before="700"/>
        <w:jc w:val="center"/>
      </w:pPr>
      <w:r>
        <w:t>Internal blueprint. Replace demonstration project and customer data with approved marketing data before public distribution.</w:t>
      </w:r>
    </w:p>
    <w:sectPr w:rsidR="00FC693F" w:rsidRPr="0006063C" w:rsidSect="00034616">
      <w:headerReference w:type="default" r:id="rId9"/>
      <w:footerReference w:type="default" r:id="rId10"/>
      <w:footerReference w:type="first" r:id="rId11"/>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6900"/>
      <w:gridCol w:w="2460"/>
    </w:tblGrid>
    <w:tr>
      <w:tc>
        <w:tcPr>
          <w:tcW w:type="dxa" w:w="6900"/>
          <w:tcMar>
            <w:top w:w="80" w:type="dxa"/>
            <w:start w:w="120" w:type="dxa"/>
            <w:bottom w:w="80" w:type="dxa"/>
            <w:end w:w="120" w:type="dxa"/>
          </w:tcMar>
        </w:tcPr>
        <w:p>
          <w:pPr>
            <w:spacing w:after="0"/>
          </w:pPr>
          <w:r>
            <w:rPr>
              <w:rFonts w:ascii="Calibri" w:hAnsi="Calibri"/>
              <w:b w:val="0"/>
              <w:i w:val="0"/>
              <w:color w:val="5E6B7A"/>
              <w:sz w:val="16"/>
            </w:rPr>
            <w:t>Confidential working draft  |  13 August 2026</w:t>
          </w:r>
        </w:p>
      </w:tc>
      <w:tc>
        <w:tcPr>
          <w:tcW w:type="dxa" w:w="2460"/>
          <w:tcMar>
            <w:top w:w="80" w:type="dxa"/>
            <w:start w:w="120" w:type="dxa"/>
            <w:bottom w:w="80" w:type="dxa"/>
            <w:end w:w="120" w:type="dxa"/>
          </w:tcMar>
        </w:tcPr>
        <w:p>
          <w:pPr>
            <w:spacing w:after="0"/>
            <w:jc w:val="right"/>
          </w:pPr>
          <w:r>
            <w:rPr>
              <w:rFonts w:ascii="Calibri" w:hAnsi="Calibri"/>
              <w:b w:val="0"/>
              <w:i w:val="0"/>
              <w:color w:val="5E6B7A"/>
              <w:sz w:val="17"/>
            </w:rPr>
            <w:t xml:space="preserve">Page </w:t>
          </w:r>
          <w:r>
            <w:rPr>
              <w:rFonts w:ascii="Calibri" w:hAnsi="Calibri"/>
              <w:b w:val="0"/>
              <w:i w:val="0"/>
              <w:color w:val="5E6B7A"/>
              <w:sz w:val="17"/>
            </w:rPr>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E6B7A"/>
        <w:sz w:val="17"/>
      </w:rPr>
      <w:t>Internal marketing and sales enablement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7" w:space="5" w:color="DDE5EC"/>
      </w:pBdr>
    </w:pPr>
    <w:r>
      <w:rPr>
        <w:rFonts w:ascii="Calibri" w:hAnsi="Calibri"/>
        <w:b/>
        <w:i w:val="0"/>
        <w:color w:val="082345"/>
        <w:sz w:val="17"/>
      </w:rPr>
      <w:t>ENGICITE  /  MARKETING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4263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8234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8234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4263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before="0" w:after="100"/>
    </w:pPr>
    <w:rPr>
      <w:rFonts w:ascii="Calibri" w:hAnsi="Calibri"/>
      <w:b/>
      <w:color w:val="ED7138"/>
      <w:sz w:val="18"/>
    </w:rPr>
  </w:style>
  <w:style w:type="paragraph" w:customStyle="1" w:styleId="FigureCaption">
    <w:name w:val="Figure Caption"/>
    <w:pPr>
      <w:spacing w:before="80" w:after="140"/>
    </w:pPr>
    <w:rPr>
      <w:rFonts w:ascii="Calibri" w:hAnsi="Calibri"/>
      <w:i/>
      <w:color w:val="5E6B7A"/>
      <w:sz w:val="17"/>
    </w:rPr>
  </w:style>
  <w:style w:type="paragraph" w:customStyle="1" w:styleId="SmallNote">
    <w:name w:val="Small Note"/>
    <w:pPr>
      <w:spacing w:before="0" w:after="80" w:line="276" w:lineRule="auto"/>
    </w:pPr>
    <w:rPr>
      <w:rFonts w:ascii="Calibri" w:hAnsi="Calibri"/>
      <w:color w:val="5E6B7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EngiCite Marketing Blueprint</dc:title>
  <dc:subject>Go-to-market positioning, capability map and live interface tour</dc:subject>
  <dc:creator>EngiCite Team</dc:creator>
  <cp:keywords>EngiCite, engineering document control, MDR, oil and gas, SaaS</cp:keywords>
  <dc:description>generated by python-docx</dc:description>
  <cp:lastModifiedBy/>
  <cp:revision>1</cp:revision>
  <dcterms:created xsi:type="dcterms:W3CDTF">2013-12-23T23:15:00Z</dcterms:created>
  <dcterms:modified xsi:type="dcterms:W3CDTF">2013-12-23T23:15:00Z</dcterms:modified>
  <cp:category/>
</cp:coreProperties>
</file>