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20"/>
        <w:jc w:val="center"/>
      </w:pPr>
      <w:r>
        <w:drawing>
          <wp:inline xmlns:a="http://schemas.openxmlformats.org/drawingml/2006/main" xmlns:pic="http://schemas.openxmlformats.org/drawingml/2006/picture">
            <wp:extent cx="4023360" cy="1901666"/>
            <wp:docPr id="1" name="Picture 1" descr="EngiCite corporate logo" title="EngiC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icite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901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F97316"/>
          <w:sz w:val="18"/>
        </w:rPr>
        <w:t>GOVERNANCE &amp; OPERATING GUIDE</w:t>
      </w:r>
    </w:p>
    <w:p>
      <w:pPr>
        <w:pStyle w:val="Title"/>
        <w:spacing w:after="160"/>
        <w:jc w:val="center"/>
      </w:pPr>
      <w:r>
        <w:rPr>
          <w:rFonts w:ascii="Calibri" w:hAnsi="Calibri"/>
          <w:b/>
          <w:color w:val="071A36"/>
          <w:sz w:val="60"/>
        </w:rPr>
        <w:t>Levels of Control</w:t>
      </w:r>
    </w:p>
    <w:p>
      <w:pPr>
        <w:pStyle w:val="Subtitle"/>
        <w:jc w:val="center"/>
      </w:pPr>
      <w:r>
        <w:rPr>
          <w:rFonts w:ascii="Calibri" w:hAnsi="Calibri"/>
          <w:color w:val="617083"/>
          <w:sz w:val="27"/>
        </w:rPr>
        <w:t>Who controls organisations, projects, engineering documents, approvals and client transmission</w:t>
      </w:r>
    </w:p>
    <w:p>
      <w:pPr>
        <w:spacing w:after="4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FF2EB"/>
            <w:tcBorders>
              <w:top w:val="single" w:sz="0" w:color="FFF2EB"/>
              <w:start w:val="single" w:sz="0" w:color="FFF2EB"/>
              <w:bottom w:val="single" w:sz="0" w:color="FFF2EB"/>
              <w:end w:val="single" w:sz="0" w:color="FFF2EB"/>
              <w:insideH w:val="single" w:sz="0" w:color="FFF2EB"/>
              <w:insideV w:val="single" w:sz="0" w:color="FFF2EB"/>
            </w:tcBorders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F97316"/>
                <w:sz w:val="17"/>
              </w:rPr>
              <w:t>CORE GOVERNANCE PRINCIPLE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24384F"/>
                <w:sz w:val="21"/>
              </w:rPr>
              <w:t>EngiCite separates management, document control, engineering production and read-only access. No individual should create, submit, approve and transmit the same controlled document without independent oversight.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/>
        <w:tc>
          <w:tcPr>
            <w:tcW w:type="dxa" w:w="2100"/>
            <w:shd w:fill="EEF3F7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6"/>
                <w:sz w:val="18"/>
              </w:rPr>
              <w:t>Document owner</w:t>
            </w:r>
          </w:p>
        </w:tc>
        <w:tc>
          <w:tcPr>
            <w:tcW w:type="dxa" w:w="72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9"/>
              </w:rPr>
              <w:t>EngiCite Product Team</w:t>
            </w:r>
          </w:p>
        </w:tc>
      </w:tr>
      <w:tr>
        <w:trPr/>
        <w:tc>
          <w:tcPr>
            <w:tcW w:type="dxa" w:w="2100"/>
            <w:shd w:fill="EEF3F7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6"/>
                <w:sz w:val="18"/>
              </w:rPr>
              <w:t>Version</w:t>
            </w:r>
          </w:p>
        </w:tc>
        <w:tc>
          <w:tcPr>
            <w:tcW w:type="dxa" w:w="72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9"/>
              </w:rPr>
              <w:t>1.0</w:t>
            </w:r>
          </w:p>
        </w:tc>
      </w:tr>
      <w:tr>
        <w:trPr/>
        <w:tc>
          <w:tcPr>
            <w:tcW w:type="dxa" w:w="2100"/>
            <w:shd w:fill="EEF3F7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6"/>
                <w:sz w:val="18"/>
              </w:rPr>
              <w:t>Date</w:t>
            </w:r>
          </w:p>
        </w:tc>
        <w:tc>
          <w:tcPr>
            <w:tcW w:type="dxa" w:w="72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9"/>
              </w:rPr>
              <w:t>12 August 2026</w:t>
            </w:r>
          </w:p>
        </w:tc>
      </w:tr>
      <w:tr>
        <w:trPr/>
        <w:tc>
          <w:tcPr>
            <w:tcW w:type="dxa" w:w="2100"/>
            <w:shd w:fill="EEF3F7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A36"/>
                <w:sz w:val="18"/>
              </w:rPr>
              <w:t>Audience</w:t>
            </w:r>
          </w:p>
        </w:tc>
        <w:tc>
          <w:tcPr>
            <w:tcW w:type="dxa" w:w="72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9"/>
              </w:rPr>
              <w:t>Administrators, project managers, DCC, engineers and viewers</w:t>
            </w:r>
          </w:p>
        </w:tc>
      </w:tr>
    </w:tbl>
    <w:p>
      <w:r>
        <w:br w:type="page"/>
      </w:r>
    </w:p>
    <w:p>
      <w:pPr>
        <w:pStyle w:val="Heading1"/>
      </w:pPr>
      <w:r>
        <w:t>1. Control architecture</w:t>
      </w:r>
    </w:p>
    <w:p>
      <w:r>
        <w:rPr>
          <w:rFonts w:ascii="Calibri" w:hAnsi="Calibri"/>
          <w:color w:val="24384F"/>
          <w:sz w:val="21"/>
        </w:rPr>
        <w:t>The platform applies role separation at three practical levels: company governance, project execution and controlled document delivery.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8F1ED"/>
            <w:tcBorders>
              <w:top w:val="single" w:sz="0" w:color="E8F1ED"/>
              <w:start w:val="single" w:sz="0" w:color="E8F1ED"/>
              <w:bottom w:val="single" w:sz="0" w:color="E8F1ED"/>
              <w:end w:val="single" w:sz="0" w:color="E8F1ED"/>
              <w:insideH w:val="single" w:sz="0" w:color="E8F1ED"/>
              <w:insideV w:val="single" w:sz="0" w:color="E8F1ED"/>
            </w:tcBorders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C5B45"/>
                <w:sz w:val="17"/>
              </w:rPr>
              <w:t>OPERATING RULE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24384F"/>
                <w:sz w:val="21"/>
              </w:rPr>
              <w:t>Access is granted only to the organisation, project, discipline and action required by the user's assigned role. Higher visibility does not automatically mean permission to perform DCC or engineering tasks.</w:t>
            </w:r>
          </w:p>
        </w:tc>
      </w:tr>
    </w:tbl>
    <w:p>
      <w:pPr>
        <w:spacing w:after="40"/>
      </w:pPr>
    </w:p>
    <w:p>
      <w:pPr>
        <w:pStyle w:val="Heading2"/>
      </w:pPr>
      <w:r>
        <w:t>Role and authority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000"/>
        <w:gridCol w:w="3000"/>
        <w:gridCol w:w="2660"/>
      </w:tblGrid>
      <w:tr>
        <w:trPr>
          <w:tblHeader w:val="true"/>
        </w:trPr>
        <w:tc>
          <w:tcPr>
            <w:tcW w:type="dxa" w:w="1700"/>
            <w:shd w:fill="071A36"/>
            <w:tcBorders>
              <w:top w:val="single" w:sz="6" w:color="071A36"/>
              <w:start w:val="single" w:sz="6" w:color="071A36"/>
              <w:bottom w:val="single" w:sz="6" w:color="071A36"/>
              <w:end w:val="single" w:sz="6" w:color="071A36"/>
              <w:insideH w:val="single" w:sz="6" w:color="071A36"/>
              <w:insideV w:val="single" w:sz="6" w:color="071A3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000"/>
            <w:shd w:fill="071A36"/>
            <w:tcBorders>
              <w:top w:val="single" w:sz="6" w:color="071A36"/>
              <w:start w:val="single" w:sz="6" w:color="071A36"/>
              <w:bottom w:val="single" w:sz="6" w:color="071A36"/>
              <w:end w:val="single" w:sz="6" w:color="071A36"/>
              <w:insideH w:val="single" w:sz="6" w:color="071A36"/>
              <w:insideV w:val="single" w:sz="6" w:color="071A3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Primary control</w:t>
            </w:r>
          </w:p>
        </w:tc>
        <w:tc>
          <w:tcPr>
            <w:tcW w:type="dxa" w:w="3000"/>
            <w:shd w:fill="071A36"/>
            <w:tcBorders>
              <w:top w:val="single" w:sz="6" w:color="071A36"/>
              <w:start w:val="single" w:sz="6" w:color="071A36"/>
              <w:bottom w:val="single" w:sz="6" w:color="071A36"/>
              <w:end w:val="single" w:sz="6" w:color="071A36"/>
              <w:insideH w:val="single" w:sz="6" w:color="071A36"/>
              <w:insideV w:val="single" w:sz="6" w:color="071A3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Permitted activities</w:t>
            </w:r>
          </w:p>
        </w:tc>
        <w:tc>
          <w:tcPr>
            <w:tcW w:type="dxa" w:w="2660"/>
            <w:shd w:fill="071A36"/>
            <w:tcBorders>
              <w:top w:val="single" w:sz="6" w:color="071A36"/>
              <w:start w:val="single" w:sz="6" w:color="071A36"/>
              <w:bottom w:val="single" w:sz="6" w:color="071A36"/>
              <w:end w:val="single" w:sz="6" w:color="071A36"/>
              <w:insideH w:val="single" w:sz="6" w:color="071A36"/>
              <w:insideV w:val="single" w:sz="6" w:color="071A36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Important restriction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71A36"/>
                <w:sz w:val="17"/>
              </w:rPr>
              <w:t>EngiCite Super Administrator</w:t>
            </w:r>
          </w:p>
        </w:tc>
        <w:tc>
          <w:tcPr>
            <w:tcW w:type="dxa" w:w="20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The SaaS platform and its availability.</w:t>
            </w:r>
          </w:p>
        </w:tc>
        <w:tc>
          <w:tcPr>
            <w:tcW w:type="dxa" w:w="30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Manages subscriptions, platform health, technical support and controlled system administration.</w:t>
            </w:r>
          </w:p>
        </w:tc>
        <w:tc>
          <w:tcPr>
            <w:tcW w:type="dxa" w:w="26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Has no routine access to customer documents. Exceptional support access must be authorised and audited.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71A36"/>
                <w:sz w:val="17"/>
              </w:rPr>
              <w:t>Organisation Administrator</w:t>
            </w:r>
          </w:p>
        </w:tc>
        <w:tc>
          <w:tcPr>
            <w:tcW w:type="dxa" w:w="200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The company workspace and portfolio.</w:t>
            </w:r>
          </w:p>
        </w:tc>
        <w:tc>
          <w:tcPr>
            <w:tcW w:type="dxa" w:w="300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Creates organisations and projects, appoints project leadership, allocates resources and monitors project health, progress and issues.</w:t>
            </w:r>
          </w:p>
        </w:tc>
        <w:tc>
          <w:tcPr>
            <w:tcW w:type="dxa" w:w="266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Does not normally create MDR entries, upload engineering revisions, approve submissions or issue transmittals.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71A36"/>
                <w:sz w:val="17"/>
              </w:rPr>
              <w:t>Project Administrator / Project Manager</w:t>
            </w:r>
          </w:p>
        </w:tc>
        <w:tc>
          <w:tcPr>
            <w:tcW w:type="dxa" w:w="20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One project's objectives, team and delivery performance.</w:t>
            </w:r>
          </w:p>
        </w:tc>
        <w:tc>
          <w:tcPr>
            <w:tcW w:type="dxa" w:w="30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Maintains the project brief, objectives, team, disciplines, schedule, resources and overall progress.</w:t>
            </w:r>
          </w:p>
        </w:tc>
        <w:tc>
          <w:tcPr>
            <w:tcW w:type="dxa" w:w="26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Does not replace the Document Controller's formal document-control authority.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71A36"/>
                <w:sz w:val="17"/>
              </w:rPr>
              <w:t>Document Controller (DCC)</w:t>
            </w:r>
          </w:p>
        </w:tc>
        <w:tc>
          <w:tcPr>
            <w:tcW w:type="dxa" w:w="200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The official MDR, revision acceptance and client issue record.</w:t>
            </w:r>
          </w:p>
        </w:tc>
        <w:tc>
          <w:tcPr>
            <w:tcW w:type="dxa" w:w="300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Creates or imports the MDR, assigns disciplines, invites engineers, sets dates, previews submissions, accepts or rejects revisions and issues controlled transmittals.</w:t>
            </w:r>
          </w:p>
        </w:tc>
        <w:tc>
          <w:tcPr>
            <w:tcW w:type="dxa" w:w="266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Does not upload revisions as the originating engineer and cannot bypass acceptance requirements.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71A36"/>
                <w:sz w:val="17"/>
              </w:rPr>
              <w:t>Discipline Engineer</w:t>
            </w:r>
          </w:p>
        </w:tc>
        <w:tc>
          <w:tcPr>
            <w:tcW w:type="dxa" w:w="20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Production and submission of assigned engineering deliverables.</w:t>
            </w:r>
          </w:p>
        </w:tc>
        <w:tc>
          <w:tcPr>
            <w:tcW w:type="dxa" w:w="30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Views the project brief and assigned discipline, then uploads revisions against allocated MDR documents and deadlines.</w:t>
            </w:r>
          </w:p>
        </w:tc>
        <w:tc>
          <w:tcPr>
            <w:tcW w:type="dxa" w:w="26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Cannot create the MDR, upload into another discipline, approve their own work or issue client transmittals.</w:t>
            </w:r>
          </w:p>
        </w:tc>
      </w:tr>
      <w:tr>
        <w:trPr>
          <w:cantSplit/>
          <w:trHeight w:hRule="atLeast"/>
        </w:trPr>
        <w:tc>
          <w:tcPr>
            <w:tcW w:type="dxa" w:w="170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71A36"/>
                <w:sz w:val="17"/>
              </w:rPr>
              <w:t>Viewer</w:t>
            </w:r>
          </w:p>
        </w:tc>
        <w:tc>
          <w:tcPr>
            <w:tcW w:type="dxa" w:w="200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Read-only access for authorised stakeholders.</w:t>
            </w:r>
          </w:p>
        </w:tc>
        <w:tc>
          <w:tcPr>
            <w:tcW w:type="dxa" w:w="300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Views permitted projects, documents, revisions, progress and approved records.</w:t>
            </w:r>
          </w:p>
        </w:tc>
        <w:tc>
          <w:tcPr>
            <w:tcW w:type="dxa" w:w="2660"/>
            <w:shd w:fill="F8FAFB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4384F"/>
                <w:sz w:val="16"/>
              </w:rPr>
              <w:t>Cannot create, edit, upload, approve, invite, delete or transmit controlled information.</w:t>
            </w:r>
          </w:p>
        </w:tc>
      </w:tr>
    </w:tbl>
    <w:p>
      <w:pPr>
        <w:pStyle w:val="Heading1"/>
      </w:pPr>
      <w:r>
        <w:t>2. Controlled document workflow</w:t>
      </w:r>
    </w:p>
    <w:p>
      <w:r>
        <w:rPr>
          <w:rFonts w:ascii="Calibri" w:hAnsi="Calibri"/>
          <w:color w:val="24384F"/>
          <w:sz w:val="21"/>
        </w:rPr>
        <w:t>The intended control chain is sequential. Each stage hands responsibility to a different authorised role.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Calibri" w:hAnsi="Calibri"/>
          <w:b/>
          <w:color w:val="071A36"/>
          <w:sz w:val="22"/>
        </w:rPr>
        <w:t>Organisation and project established</w:t>
      </w:r>
    </w:p>
    <w:p>
      <w:pPr>
        <w:spacing w:after="160" w:line="276" w:lineRule="auto"/>
        <w:ind w:left="540"/>
      </w:pPr>
      <w:r>
        <w:rPr>
          <w:rFonts w:ascii="Calibri" w:hAnsi="Calibri"/>
          <w:color w:val="24384F"/>
          <w:sz w:val="20"/>
        </w:rPr>
        <w:t>The Organisation Administrator creates the workspace and project, then appoints project leadership and resources.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Calibri" w:hAnsi="Calibri"/>
          <w:b/>
          <w:color w:val="071A36"/>
          <w:sz w:val="22"/>
        </w:rPr>
        <w:t>Project context and team defined</w:t>
      </w:r>
    </w:p>
    <w:p>
      <w:pPr>
        <w:spacing w:after="160" w:line="276" w:lineRule="auto"/>
        <w:ind w:left="540"/>
      </w:pPr>
      <w:r>
        <w:rPr>
          <w:rFonts w:ascii="Calibri" w:hAnsi="Calibri"/>
          <w:color w:val="24384F"/>
          <w:sz w:val="20"/>
        </w:rPr>
        <w:t>The Project Manager records the introduction, objectives, disciplines, schedule and responsible team.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Calibri" w:hAnsi="Calibri"/>
          <w:b/>
          <w:color w:val="071A36"/>
          <w:sz w:val="22"/>
        </w:rPr>
        <w:t>Master Document Register controlled</w:t>
      </w:r>
    </w:p>
    <w:p>
      <w:pPr>
        <w:spacing w:after="160" w:line="276" w:lineRule="auto"/>
        <w:ind w:left="540"/>
      </w:pPr>
      <w:r>
        <w:rPr>
          <w:rFonts w:ascii="Calibri" w:hAnsi="Calibri"/>
          <w:color w:val="24384F"/>
          <w:sz w:val="20"/>
        </w:rPr>
        <w:t>The DCC creates or imports planned deliverables, assigns disciplines and records agreed submission dates.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Calibri" w:hAnsi="Calibri"/>
          <w:b/>
          <w:color w:val="071A36"/>
          <w:sz w:val="22"/>
        </w:rPr>
        <w:t>Revision produced and submitted</w:t>
      </w:r>
    </w:p>
    <w:p>
      <w:pPr>
        <w:spacing w:after="160" w:line="276" w:lineRule="auto"/>
        <w:ind w:left="540"/>
      </w:pPr>
      <w:r>
        <w:rPr>
          <w:rFonts w:ascii="Calibri" w:hAnsi="Calibri"/>
          <w:color w:val="24384F"/>
          <w:sz w:val="20"/>
        </w:rPr>
        <w:t>The assigned Discipline Engineer uploads the correct revision only against an authorised document in their discipline.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Calibri" w:hAnsi="Calibri"/>
          <w:b/>
          <w:color w:val="071A36"/>
          <w:sz w:val="22"/>
        </w:rPr>
        <w:t>Submission independently checked</w:t>
      </w:r>
    </w:p>
    <w:p>
      <w:pPr>
        <w:spacing w:after="160" w:line="276" w:lineRule="auto"/>
        <w:ind w:left="540"/>
      </w:pPr>
      <w:r>
        <w:rPr>
          <w:rFonts w:ascii="Calibri" w:hAnsi="Calibri"/>
          <w:color w:val="24384F"/>
          <w:sz w:val="20"/>
        </w:rPr>
        <w:t>The DCC previews the file for conformance, then accepts it or rejects it with a reason and notification.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Calibri" w:hAnsi="Calibri"/>
          <w:b/>
          <w:color w:val="071A36"/>
          <w:sz w:val="22"/>
        </w:rPr>
        <w:t>Accepted records issued to the client</w:t>
      </w:r>
    </w:p>
    <w:p>
      <w:pPr>
        <w:spacing w:after="160" w:line="276" w:lineRule="auto"/>
        <w:ind w:left="540"/>
      </w:pPr>
      <w:r>
        <w:rPr>
          <w:rFonts w:ascii="Calibri" w:hAnsi="Calibri"/>
          <w:color w:val="24384F"/>
          <w:sz w:val="20"/>
        </w:rPr>
        <w:t>The DCC selects accepted, processing-ready revisions and freezes them into a numbered transmittal with acknowledgement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FF2EB"/>
            <w:tcBorders>
              <w:top w:val="single" w:sz="0" w:color="FFF2EB"/>
              <w:start w:val="single" w:sz="0" w:color="FFF2EB"/>
              <w:bottom w:val="single" w:sz="0" w:color="FFF2EB"/>
              <w:end w:val="single" w:sz="0" w:color="FFF2EB"/>
              <w:insideH w:val="single" w:sz="0" w:color="FFF2EB"/>
              <w:insideV w:val="single" w:sz="0" w:color="FFF2EB"/>
            </w:tcBorders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F97316"/>
                <w:sz w:val="17"/>
              </w:rPr>
              <w:t>APPROVAL BOUNDARY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24384F"/>
                <w:sz w:val="21"/>
              </w:rPr>
              <w:t>An engineer cannot approve their own submission. Only a DCC-accepted revision can be included in a controlled client transmittal.</w:t>
            </w:r>
          </w:p>
        </w:tc>
      </w:tr>
    </w:tbl>
    <w:p>
      <w:pPr>
        <w:spacing w:after="40"/>
      </w:pPr>
    </w:p>
    <w:p>
      <w:pPr>
        <w:pStyle w:val="Heading1"/>
      </w:pPr>
      <w:r>
        <w:t>3. Access and security boundaries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71A36"/>
          <w:sz w:val="21"/>
        </w:rPr>
        <w:t xml:space="preserve">Organisation isolation: </w:t>
      </w:r>
      <w:r>
        <w:rPr>
          <w:rFonts w:ascii="Calibri" w:hAnsi="Calibri"/>
          <w:color w:val="24384F"/>
          <w:sz w:val="21"/>
        </w:rPr>
        <w:t>Users in one organisation cannot see another organisation's information.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71A36"/>
          <w:sz w:val="21"/>
        </w:rPr>
        <w:t xml:space="preserve">Project isolation: </w:t>
      </w:r>
      <w:r>
        <w:rPr>
          <w:rFonts w:ascii="Calibri" w:hAnsi="Calibri"/>
          <w:color w:val="24384F"/>
          <w:sz w:val="21"/>
        </w:rPr>
        <w:t>Access to one project does not automatically grant access to other projects.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71A36"/>
          <w:sz w:val="21"/>
        </w:rPr>
        <w:t xml:space="preserve">Discipline isolation: </w:t>
      </w:r>
      <w:r>
        <w:rPr>
          <w:rFonts w:ascii="Calibri" w:hAnsi="Calibri"/>
          <w:color w:val="24384F"/>
          <w:sz w:val="21"/>
        </w:rPr>
        <w:t>An engineer can submit only to documents belonging to their assigned discipline.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71A36"/>
          <w:sz w:val="21"/>
        </w:rPr>
        <w:t xml:space="preserve">Revision control: </w:t>
      </w:r>
      <w:r>
        <w:rPr>
          <w:rFonts w:ascii="Calibri" w:hAnsi="Calibri"/>
          <w:color w:val="24384F"/>
          <w:sz w:val="21"/>
        </w:rPr>
        <w:t>Each file stays linked to its exact document number, revision and issue status.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71A36"/>
          <w:sz w:val="21"/>
        </w:rPr>
        <w:t xml:space="preserve">Approval control: </w:t>
      </w:r>
      <w:r>
        <w:rPr>
          <w:rFonts w:ascii="Calibri" w:hAnsi="Calibri"/>
          <w:color w:val="24384F"/>
          <w:sz w:val="21"/>
        </w:rPr>
        <w:t>Submission and acceptance are performed by separate authorised roles.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71A36"/>
          <w:sz w:val="21"/>
        </w:rPr>
        <w:t xml:space="preserve">Transmission control: </w:t>
      </w:r>
      <w:r>
        <w:rPr>
          <w:rFonts w:ascii="Calibri" w:hAnsi="Calibri"/>
          <w:color w:val="24384F"/>
          <w:sz w:val="21"/>
        </w:rPr>
        <w:t>Only accepted, ready revisions can enter a numbered client transmittal.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71A36"/>
          <w:sz w:val="21"/>
        </w:rPr>
        <w:t xml:space="preserve">File-access control: </w:t>
      </w:r>
      <w:r>
        <w:rPr>
          <w:rFonts w:ascii="Calibri" w:hAnsi="Calibri"/>
          <w:color w:val="24384F"/>
          <w:sz w:val="21"/>
        </w:rPr>
        <w:t>Downloads are provided through temporary signed links instead of public file locations.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071A36"/>
          <w:sz w:val="21"/>
        </w:rPr>
        <w:t xml:space="preserve">Audit control: </w:t>
      </w:r>
      <w:r>
        <w:rPr>
          <w:rFonts w:ascii="Calibri" w:hAnsi="Calibri"/>
          <w:color w:val="24384F"/>
          <w:sz w:val="21"/>
        </w:rPr>
        <w:t>Uploads, reviews, downloads, invitations, AI questions and transmissions are recorded.</w:t>
      </w:r>
    </w:p>
    <w:p>
      <w:pPr>
        <w:pStyle w:val="Heading1"/>
      </w:pPr>
      <w:r>
        <w:t>4. Quick responsibility guide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6300"/>
        <w:gridCol w:w="3060"/>
      </w:tblGrid>
      <w:tr>
        <w:trPr>
          <w:tblHeader w:val="true"/>
        </w:trPr>
        <w:tc>
          <w:tcPr>
            <w:tcW w:type="dxa" w:w="6300"/>
            <w:shd w:fill="0C5B45"/>
            <w:tcBorders>
              <w:top w:val="single" w:sz="6" w:color="0C5B45"/>
              <w:start w:val="single" w:sz="6" w:color="0C5B45"/>
              <w:bottom w:val="single" w:sz="6" w:color="0C5B45"/>
              <w:end w:val="single" w:sz="6" w:color="0C5B45"/>
              <w:insideH w:val="single" w:sz="6" w:color="0C5B45"/>
              <w:insideV w:val="single" w:sz="6" w:color="0C5B45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action</w:t>
            </w:r>
          </w:p>
        </w:tc>
        <w:tc>
          <w:tcPr>
            <w:tcW w:type="dxa" w:w="3060"/>
            <w:shd w:fill="0C5B45"/>
            <w:tcBorders>
              <w:top w:val="single" w:sz="6" w:color="0C5B45"/>
              <w:start w:val="single" w:sz="6" w:color="0C5B45"/>
              <w:bottom w:val="single" w:sz="6" w:color="0C5B45"/>
              <w:end w:val="single" w:sz="6" w:color="0C5B45"/>
              <w:insideH w:val="single" w:sz="6" w:color="0C5B45"/>
              <w:insideV w:val="single" w:sz="6" w:color="0C5B45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Authorised role</w:t>
            </w:r>
          </w:p>
        </w:tc>
      </w:tr>
      <w:tr>
        <w:trPr>
          <w:cantSplit/>
          <w:trHeight w:hRule="atLeast"/>
        </w:trPr>
        <w:tc>
          <w:tcPr>
            <w:tcW w:type="dxa" w:w="63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8"/>
              </w:rPr>
              <w:t>Create an organisation or project</w:t>
            </w:r>
          </w:p>
        </w:tc>
        <w:tc>
          <w:tcPr>
            <w:tcW w:type="dxa" w:w="30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C5B45"/>
                <w:sz w:val="18"/>
              </w:rPr>
              <w:t>Organisation Administrator</w:t>
            </w:r>
          </w:p>
        </w:tc>
      </w:tr>
      <w:tr>
        <w:trPr>
          <w:cantSplit/>
          <w:trHeight w:hRule="atLeast"/>
        </w:trPr>
        <w:tc>
          <w:tcPr>
            <w:tcW w:type="dxa" w:w="6300"/>
            <w:shd w:fill="F6F9F7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8"/>
              </w:rPr>
              <w:t>Define project objectives, team and schedule</w:t>
            </w:r>
          </w:p>
        </w:tc>
        <w:tc>
          <w:tcPr>
            <w:tcW w:type="dxa" w:w="3060"/>
            <w:shd w:fill="F6F9F7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C5B45"/>
                <w:sz w:val="18"/>
              </w:rPr>
              <w:t>Project Manager</w:t>
            </w:r>
          </w:p>
        </w:tc>
      </w:tr>
      <w:tr>
        <w:trPr>
          <w:cantSplit/>
          <w:trHeight w:hRule="atLeast"/>
        </w:trPr>
        <w:tc>
          <w:tcPr>
            <w:tcW w:type="dxa" w:w="63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8"/>
              </w:rPr>
              <w:t>Create or import the MDR</w:t>
            </w:r>
          </w:p>
        </w:tc>
        <w:tc>
          <w:tcPr>
            <w:tcW w:type="dxa" w:w="30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C5B45"/>
                <w:sz w:val="18"/>
              </w:rPr>
              <w:t>Document Controller</w:t>
            </w:r>
          </w:p>
        </w:tc>
      </w:tr>
      <w:tr>
        <w:trPr>
          <w:cantSplit/>
          <w:trHeight w:hRule="atLeast"/>
        </w:trPr>
        <w:tc>
          <w:tcPr>
            <w:tcW w:type="dxa" w:w="6300"/>
            <w:shd w:fill="F6F9F7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8"/>
              </w:rPr>
              <w:t>Upload an engineering revision</w:t>
            </w:r>
          </w:p>
        </w:tc>
        <w:tc>
          <w:tcPr>
            <w:tcW w:type="dxa" w:w="3060"/>
            <w:shd w:fill="F6F9F7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C5B45"/>
                <w:sz w:val="18"/>
              </w:rPr>
              <w:t>Assigned Discipline Engineer</w:t>
            </w:r>
          </w:p>
        </w:tc>
      </w:tr>
      <w:tr>
        <w:trPr>
          <w:cantSplit/>
          <w:trHeight w:hRule="atLeast"/>
        </w:trPr>
        <w:tc>
          <w:tcPr>
            <w:tcW w:type="dxa" w:w="63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8"/>
              </w:rPr>
              <w:t>Preview, accept or reject a submission</w:t>
            </w:r>
          </w:p>
        </w:tc>
        <w:tc>
          <w:tcPr>
            <w:tcW w:type="dxa" w:w="30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C5B45"/>
                <w:sz w:val="18"/>
              </w:rPr>
              <w:t>Document Controller</w:t>
            </w:r>
          </w:p>
        </w:tc>
      </w:tr>
      <w:tr>
        <w:trPr>
          <w:cantSplit/>
          <w:trHeight w:hRule="atLeast"/>
        </w:trPr>
        <w:tc>
          <w:tcPr>
            <w:tcW w:type="dxa" w:w="6300"/>
            <w:shd w:fill="F6F9F7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8"/>
              </w:rPr>
              <w:t>Prepare and issue a client transmittal</w:t>
            </w:r>
          </w:p>
        </w:tc>
        <w:tc>
          <w:tcPr>
            <w:tcW w:type="dxa" w:w="3060"/>
            <w:shd w:fill="F6F9F7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C5B45"/>
                <w:sz w:val="18"/>
              </w:rPr>
              <w:t>Document Controller</w:t>
            </w:r>
          </w:p>
        </w:tc>
      </w:tr>
      <w:tr>
        <w:trPr>
          <w:cantSplit/>
          <w:trHeight w:hRule="atLeast"/>
        </w:trPr>
        <w:tc>
          <w:tcPr>
            <w:tcW w:type="dxa" w:w="630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4384F"/>
                <w:sz w:val="18"/>
              </w:rPr>
              <w:t>View approved information without changing it</w:t>
            </w:r>
          </w:p>
        </w:tc>
        <w:tc>
          <w:tcPr>
            <w:tcW w:type="dxa" w:w="3060"/>
            <w:shd w:fill="FFFFFF"/>
            <w:tcBorders>
              <w:top w:val="single" w:sz="5" w:color="E9EEF1"/>
              <w:start w:val="single" w:sz="5" w:color="E9EEF1"/>
              <w:bottom w:val="single" w:sz="5" w:color="E9EEF1"/>
              <w:end w:val="single" w:sz="5" w:color="E9EEF1"/>
              <w:insideH w:val="single" w:sz="5" w:color="E9EEF1"/>
              <w:insideV w:val="single" w:sz="5" w:color="E9EEF1"/>
            </w:tcBorders>
            <w:vAlign w:val="center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C5B45"/>
                <w:sz w:val="18"/>
              </w:rPr>
              <w:t>Viewer</w:t>
            </w:r>
          </w:p>
        </w:tc>
      </w:tr>
    </w:tbl>
    <w:p>
      <w:pPr>
        <w:pStyle w:val="Heading1"/>
      </w:pPr>
      <w:r>
        <w:t>5. Control outcome</w:t>
      </w:r>
    </w:p>
    <w:p>
      <w:r>
        <w:rPr>
          <w:rFonts w:ascii="Calibri" w:hAnsi="Calibri"/>
          <w:color w:val="24384F"/>
          <w:sz w:val="21"/>
        </w:rPr>
        <w:t>When these controls are applied together, EngiCite provides a defensible chain of custody from project setup to client issue.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84F"/>
          <w:sz w:val="21"/>
        </w:rPr>
        <w:t>Management receives portfolio visibility without taking over specialist document-control actions.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84F"/>
          <w:sz w:val="21"/>
        </w:rPr>
        <w:t>Engineers receive clear assignments and upload rights limited to their disciplines.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84F"/>
          <w:sz w:val="21"/>
        </w:rPr>
        <w:t>The DCC maintains an independent official record and controls what is formally issued.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84F"/>
          <w:sz w:val="21"/>
        </w:rPr>
        <w:t>Clients receive traceable document packages linked to numbered transmittals and acknowledgement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EF3F7"/>
            <w:tcBorders>
              <w:top w:val="single" w:sz="0" w:color="EEF3F7"/>
              <w:start w:val="single" w:sz="0" w:color="EEF3F7"/>
              <w:bottom w:val="single" w:sz="0" w:color="EEF3F7"/>
              <w:end w:val="single" w:sz="0" w:color="EEF3F7"/>
              <w:insideH w:val="single" w:sz="0" w:color="EEF3F7"/>
              <w:insideV w:val="single" w:sz="0" w:color="EEF3F7"/>
            </w:tcBorders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71A36"/>
                <w:sz w:val="17"/>
              </w:rPr>
              <w:t>IMPLEMENTATION NOTE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24384F"/>
                <w:sz w:val="21"/>
              </w:rPr>
              <w:t>This guide describes the intended EngiCite operating model. Before production deployment, each role and boundary should be verified against the live permission tests, database policies and audit records.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120"/>
    </w:tblPr>
    <w:tblGrid>
      <w:gridCol w:w="7000"/>
      <w:gridCol w:w="2360"/>
    </w:tblGrid>
    <w:tr>
      <w:trPr/>
      <w:tc>
        <w:tcPr>
          <w:tcW w:type="dxa" w:w="7000"/>
          <w:tcMar>
            <w:top w:w="0" w:type="dxa"/>
            <w:bottom w:w="0" w:type="dxa"/>
            <w:start w:w="120" w:type="dxa"/>
            <w:end w:w="120" w:type="dxa"/>
          </w:tcMar>
          <w:tcBorders>
            <w:top w:val="single" w:sz="0" w:color="FFFFFF"/>
            <w:start w:val="single" w:sz="0" w:color="FFFFFF"/>
            <w:bottom w:val="single" w:sz="0" w:color="FFFFFF"/>
            <w:end w:val="single" w:sz="0" w:color="FFFFFF"/>
            <w:insideH w:val="single" w:sz="0" w:color="FFFFFF"/>
            <w:insideV w:val="single" w:sz="0" w:color="FFFFFF"/>
          </w:tcBorders>
        </w:tcPr>
        <w:p>
          <w:pPr>
            <w:spacing w:after="0"/>
          </w:pPr>
          <w:r>
            <w:rPr>
              <w:rFonts w:ascii="Calibri" w:hAnsi="Calibri"/>
              <w:color w:val="617083"/>
              <w:sz w:val="17"/>
            </w:rPr>
            <w:t>EngiCite | Product operating guide</w:t>
          </w:r>
        </w:p>
      </w:tc>
      <w:tc>
        <w:tcPr>
          <w:tcW w:type="dxa" w:w="2360"/>
          <w:tcMar>
            <w:top w:w="0" w:type="dxa"/>
            <w:bottom w:w="0" w:type="dxa"/>
            <w:start w:w="120" w:type="dxa"/>
            <w:end w:w="120" w:type="dxa"/>
          </w:tcMar>
          <w:tcBorders>
            <w:top w:val="single" w:sz="0" w:color="FFFFFF"/>
            <w:start w:val="single" w:sz="0" w:color="FFFFFF"/>
            <w:bottom w:val="single" w:sz="0" w:color="FFFFFF"/>
            <w:end w:val="single" w:sz="0" w:color="FFFFFF"/>
            <w:insideH w:val="single" w:sz="0" w:color="FFFFFF"/>
            <w:insideV w:val="single" w:sz="0" w:color="FFFFFF"/>
          </w:tcBorders>
        </w:tcPr>
        <w:p>
          <w:pPr>
            <w:spacing w:after="0"/>
            <w:jc w:val="right"/>
          </w:pPr>
          <w:r>
            <w:rPr>
              <w:rFonts w:ascii="Calibri" w:hAnsi="Calibri"/>
              <w:color w:val="617083"/>
              <w:sz w:val="17"/>
            </w:rPr>
            <w:t xml:space="preserve">Page </w:t>
          </w:r>
          <w:r>
            <w:rPr>
              <w:rFonts w:ascii="Calibri" w:hAnsi="Calibri"/>
              <w:color w:val="617083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43000" cy="540246"/>
          <wp:docPr id="1" name="Picture 1" descr="EngiCite corporate logo" title="EngiCit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gicite-logo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54024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617083"/>
        <w:sz w:val="16"/>
      </w:rPr>
      <w:t xml:space="preserve">   CONTROL &amp; RESPONSIBILITY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8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1A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C5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A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71A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1708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EngiCite Levels of Control and Responsibility Guide</dc:title>
  <dc:subject>Role separation, controlled document workflow and access boundaries</dc:subject>
  <dc:creator>EngiCite Product Team</dc:creator>
  <cp:keywords>EngiCite, document control, roles, permissions, MDR, transmittal</cp:keywords>
  <dc:description>Generated as an EngiCite product operating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