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918FD" w14:textId="6CA0667D" w:rsidR="000322F4" w:rsidRDefault="000322F4" w:rsidP="00617050">
      <w:r>
        <w:t>Seth Glover</w:t>
      </w:r>
    </w:p>
    <w:p w14:paraId="4B4BD56C" w14:textId="645152B6" w:rsidR="000322F4" w:rsidRDefault="000322F4" w:rsidP="00617050">
      <w:r>
        <w:t>CSD 380</w:t>
      </w:r>
    </w:p>
    <w:p w14:paraId="6D9BF5CE" w14:textId="78690169" w:rsidR="000322F4" w:rsidRDefault="000322F4" w:rsidP="00617050">
      <w:r>
        <w:t>Assignment 12.2</w:t>
      </w:r>
    </w:p>
    <w:p w14:paraId="0420656F" w14:textId="532CFBC2" w:rsidR="000322F4" w:rsidRDefault="000322F4" w:rsidP="00617050">
      <w:r>
        <w:t>5/16/2025</w:t>
      </w:r>
    </w:p>
    <w:p w14:paraId="72FC724C" w14:textId="61A09676" w:rsidR="00617050" w:rsidRPr="00617050" w:rsidRDefault="00617050" w:rsidP="00617050">
      <w:r w:rsidRPr="00617050">
        <w:t>Case Study 1: Providing Compliance in Regulated Environments</w:t>
      </w:r>
    </w:p>
    <w:p w14:paraId="59B9B0E3" w14:textId="77777777" w:rsidR="00617050" w:rsidRPr="00617050" w:rsidRDefault="00617050" w:rsidP="00617050">
      <w:r w:rsidRPr="00617050">
        <w:t>This case study highlights the challenges and solutions associated with implementing DevOps practices in highly regulated industries, such as finance and healthcare. Organizations in these sectors must adhere to strict compliance standards, which often necessitate rigorous documentation, change management, and audit trails.</w:t>
      </w:r>
    </w:p>
    <w:p w14:paraId="43C3E83B" w14:textId="101E370B" w:rsidR="00617050" w:rsidRPr="00617050" w:rsidRDefault="00617050" w:rsidP="00617050">
      <w:r w:rsidRPr="00617050">
        <w:t xml:space="preserve">The authors emphasize the importance of integrating compliance requirements into the DevOps workflow rather than treating them as separate or subsequent processes. By embedding compliance checks into the continuous integration and continuous delivery </w:t>
      </w:r>
      <w:r w:rsidR="000322F4">
        <w:t>[</w:t>
      </w:r>
      <w:r w:rsidRPr="00617050">
        <w:t>CI/CD</w:t>
      </w:r>
      <w:r w:rsidR="000322F4">
        <w:t>]</w:t>
      </w:r>
      <w:r w:rsidRPr="00617050">
        <w:t xml:space="preserve"> pipelines, organizations can ensure that every code change is automatically evaluated against compliance criteria. This approach not only streamlines the compliance process but also reduces the risk of human error.</w:t>
      </w:r>
    </w:p>
    <w:p w14:paraId="4DB0EB43" w14:textId="036E2E9D" w:rsidR="00617050" w:rsidRPr="00617050" w:rsidRDefault="00617050" w:rsidP="00617050">
      <w:r w:rsidRPr="00617050">
        <w:t>A key lesson from this case study is that automation is crucial for maintaining compliance without sacrificing agility. Automated testing, infrastructure as code, and continuous monitoring enable teams to detect and address compliance issues in real-time. Furthermore, fostering a culture of shared responsibility for compliance across development, operations, and security teams ensures that compliance considerations are integrated throughout the software development lifecycle</w:t>
      </w:r>
      <w:r w:rsidR="005C0F8D">
        <w:t>.</w:t>
      </w:r>
      <w:r w:rsidR="005C0F8D" w:rsidRPr="00617050">
        <w:t xml:space="preserve"> </w:t>
      </w:r>
    </w:p>
    <w:p w14:paraId="173E3C4A" w14:textId="77777777" w:rsidR="00617050" w:rsidRPr="00617050" w:rsidRDefault="00617050" w:rsidP="00617050">
      <w:r w:rsidRPr="00617050">
        <w:t>Case Study 2: Relying on Production Telemetry for ATM Systems</w:t>
      </w:r>
    </w:p>
    <w:p w14:paraId="499B9948" w14:textId="42AC4B2E" w:rsidR="00617050" w:rsidRPr="00617050" w:rsidRDefault="00617050" w:rsidP="00617050">
      <w:r w:rsidRPr="00617050">
        <w:t xml:space="preserve">In this case study, the focus shifts to the use of production telemetry to enhance the reliability and performance of Automated Teller Machine </w:t>
      </w:r>
      <w:r w:rsidR="000322F4">
        <w:t>[</w:t>
      </w:r>
      <w:r w:rsidRPr="00617050">
        <w:t>ATM</w:t>
      </w:r>
      <w:r w:rsidR="000322F4">
        <w:t>]</w:t>
      </w:r>
      <w:r w:rsidRPr="00617050">
        <w:t xml:space="preserve"> systems. The authors describe how a financial institution leveraged real-time monitoring and data analysis to proactively identify and resolve issues affecting ATM availability.</w:t>
      </w:r>
    </w:p>
    <w:p w14:paraId="7154340C" w14:textId="77777777" w:rsidR="00617050" w:rsidRPr="00617050" w:rsidRDefault="00617050" w:rsidP="00617050">
      <w:r w:rsidRPr="00617050">
        <w:t>By collecting and analyzing telemetry data from ATM systems, the organization could detect patterns indicative of potential failures or performance degradation. This proactive approach allowed for timely interventions, minimizing downtime and improving customer satisfaction.</w:t>
      </w:r>
    </w:p>
    <w:p w14:paraId="465DA8D8" w14:textId="77777777" w:rsidR="00617050" w:rsidRPr="00617050" w:rsidRDefault="00617050" w:rsidP="00617050">
      <w:r w:rsidRPr="00617050">
        <w:t xml:space="preserve">The case study underscores the value of observability in complex systems. Implementing comprehensive monitoring and logging mechanisms provides teams with the insights needed to understand system behavior and respond effectively to anomalies. Additionally, </w:t>
      </w:r>
      <w:r w:rsidRPr="00617050">
        <w:lastRenderedPageBreak/>
        <w:t>the integration of telemetry data into incident response workflows enables faster diagnosis and resolution of issues.</w:t>
      </w:r>
    </w:p>
    <w:p w14:paraId="6DD9E332" w14:textId="66CD00B2" w:rsidR="00617050" w:rsidRPr="00617050" w:rsidRDefault="00617050" w:rsidP="00617050">
      <w:r w:rsidRPr="00617050">
        <w:t>A significant lesson from this case study is the importance of building systems with observability in mind. Designing applications and infrastructure to emit meaningful telemetry data facilitates ongoing performance tuning and rapid incident response. Moreover, fostering a culture that prioritizes data-driven decision-making empowers teams to continuously improve system reliability and user experience.</w:t>
      </w:r>
    </w:p>
    <w:p w14:paraId="5AEDE987" w14:textId="77777777" w:rsidR="00617050" w:rsidRPr="00617050" w:rsidRDefault="00617050" w:rsidP="00617050">
      <w:r w:rsidRPr="00617050">
        <w:t>In summary, both case studies illustrate the transformative impact of integrating DevOps practices into regulated and high-availability environments. By embedding compliance into automated workflows and leveraging production telemetry for proactive system management, organizations can achieve greater agility, reliability, and customer satisfaction. These examples demonstrate that with the right tools and cultural mindset, DevOps principles can be successfully applied across diverse and challenging operational contexts.</w:t>
      </w:r>
    </w:p>
    <w:p w14:paraId="549E3FD7" w14:textId="77777777" w:rsidR="00617050" w:rsidRPr="00617050" w:rsidRDefault="00617050" w:rsidP="00617050">
      <w:r w:rsidRPr="00617050">
        <w:rPr>
          <w:i/>
          <w:iCs/>
        </w:rPr>
        <w:t>Reference:</w:t>
      </w:r>
    </w:p>
    <w:p w14:paraId="56040427" w14:textId="77777777" w:rsidR="00617050" w:rsidRPr="00617050" w:rsidRDefault="00617050" w:rsidP="00617050">
      <w:r w:rsidRPr="00617050">
        <w:t xml:space="preserve">Kim, G., Humble, J., Debois, P., Willis, J., &amp; Forsgren, N. (2021). </w:t>
      </w:r>
      <w:r w:rsidRPr="00617050">
        <w:rPr>
          <w:i/>
          <w:iCs/>
        </w:rPr>
        <w:t>The DevOps Handbook: How to Create World-Class Agility, Reliability, &amp; Security in Technology Organizations</w:t>
      </w:r>
      <w:r w:rsidRPr="00617050">
        <w:t xml:space="preserve"> (2nd ed.). IT Revolution Press.</w:t>
      </w:r>
    </w:p>
    <w:p w14:paraId="140DA7F8" w14:textId="76281657" w:rsidR="000732AD" w:rsidRPr="00617050" w:rsidRDefault="000732AD" w:rsidP="00617050"/>
    <w:sectPr w:rsidR="000732AD" w:rsidRPr="00617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F000AB"/>
    <w:multiLevelType w:val="multilevel"/>
    <w:tmpl w:val="B4AC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5D6B5F"/>
    <w:multiLevelType w:val="hybridMultilevel"/>
    <w:tmpl w:val="CF7A2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29259">
    <w:abstractNumId w:val="1"/>
  </w:num>
  <w:num w:numId="2" w16cid:durableId="1058240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21"/>
    <w:rsid w:val="000322F4"/>
    <w:rsid w:val="00050B8B"/>
    <w:rsid w:val="000732AD"/>
    <w:rsid w:val="000847D0"/>
    <w:rsid w:val="0014081A"/>
    <w:rsid w:val="001D241B"/>
    <w:rsid w:val="002B6221"/>
    <w:rsid w:val="003E70C9"/>
    <w:rsid w:val="004C045C"/>
    <w:rsid w:val="005C0F8D"/>
    <w:rsid w:val="00617050"/>
    <w:rsid w:val="006215EB"/>
    <w:rsid w:val="006B2A19"/>
    <w:rsid w:val="00A14708"/>
    <w:rsid w:val="00AE7C7A"/>
    <w:rsid w:val="00E7170D"/>
    <w:rsid w:val="00F8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E165"/>
  <w15:chartTrackingRefBased/>
  <w15:docId w15:val="{BC1E1E8D-77C5-4F57-8EAD-5DDEA70A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221"/>
    <w:rPr>
      <w:rFonts w:eastAsiaTheme="majorEastAsia" w:cstheme="majorBidi"/>
      <w:color w:val="272727" w:themeColor="text1" w:themeTint="D8"/>
    </w:rPr>
  </w:style>
  <w:style w:type="paragraph" w:styleId="Title">
    <w:name w:val="Title"/>
    <w:basedOn w:val="Normal"/>
    <w:next w:val="Normal"/>
    <w:link w:val="TitleChar"/>
    <w:uiPriority w:val="10"/>
    <w:qFormat/>
    <w:rsid w:val="002B6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221"/>
    <w:pPr>
      <w:spacing w:before="160"/>
      <w:jc w:val="center"/>
    </w:pPr>
    <w:rPr>
      <w:i/>
      <w:iCs/>
      <w:color w:val="404040" w:themeColor="text1" w:themeTint="BF"/>
    </w:rPr>
  </w:style>
  <w:style w:type="character" w:customStyle="1" w:styleId="QuoteChar">
    <w:name w:val="Quote Char"/>
    <w:basedOn w:val="DefaultParagraphFont"/>
    <w:link w:val="Quote"/>
    <w:uiPriority w:val="29"/>
    <w:rsid w:val="002B6221"/>
    <w:rPr>
      <w:i/>
      <w:iCs/>
      <w:color w:val="404040" w:themeColor="text1" w:themeTint="BF"/>
    </w:rPr>
  </w:style>
  <w:style w:type="paragraph" w:styleId="ListParagraph">
    <w:name w:val="List Paragraph"/>
    <w:basedOn w:val="Normal"/>
    <w:uiPriority w:val="34"/>
    <w:qFormat/>
    <w:rsid w:val="002B6221"/>
    <w:pPr>
      <w:ind w:left="720"/>
      <w:contextualSpacing/>
    </w:pPr>
  </w:style>
  <w:style w:type="character" w:styleId="IntenseEmphasis">
    <w:name w:val="Intense Emphasis"/>
    <w:basedOn w:val="DefaultParagraphFont"/>
    <w:uiPriority w:val="21"/>
    <w:qFormat/>
    <w:rsid w:val="002B6221"/>
    <w:rPr>
      <w:i/>
      <w:iCs/>
      <w:color w:val="0F4761" w:themeColor="accent1" w:themeShade="BF"/>
    </w:rPr>
  </w:style>
  <w:style w:type="paragraph" w:styleId="IntenseQuote">
    <w:name w:val="Intense Quote"/>
    <w:basedOn w:val="Normal"/>
    <w:next w:val="Normal"/>
    <w:link w:val="IntenseQuoteChar"/>
    <w:uiPriority w:val="30"/>
    <w:qFormat/>
    <w:rsid w:val="002B6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221"/>
    <w:rPr>
      <w:i/>
      <w:iCs/>
      <w:color w:val="0F4761" w:themeColor="accent1" w:themeShade="BF"/>
    </w:rPr>
  </w:style>
  <w:style w:type="character" w:styleId="IntenseReference">
    <w:name w:val="Intense Reference"/>
    <w:basedOn w:val="DefaultParagraphFont"/>
    <w:uiPriority w:val="32"/>
    <w:qFormat/>
    <w:rsid w:val="002B6221"/>
    <w:rPr>
      <w:b/>
      <w:bCs/>
      <w:smallCaps/>
      <w:color w:val="0F4761" w:themeColor="accent1" w:themeShade="BF"/>
      <w:spacing w:val="5"/>
    </w:rPr>
  </w:style>
  <w:style w:type="character" w:styleId="Hyperlink">
    <w:name w:val="Hyperlink"/>
    <w:basedOn w:val="DefaultParagraphFont"/>
    <w:uiPriority w:val="99"/>
    <w:unhideWhenUsed/>
    <w:rsid w:val="000732AD"/>
    <w:rPr>
      <w:color w:val="467886" w:themeColor="hyperlink"/>
      <w:u w:val="single"/>
    </w:rPr>
  </w:style>
  <w:style w:type="character" w:styleId="UnresolvedMention">
    <w:name w:val="Unresolved Mention"/>
    <w:basedOn w:val="DefaultParagraphFont"/>
    <w:uiPriority w:val="99"/>
    <w:semiHidden/>
    <w:unhideWhenUsed/>
    <w:rsid w:val="00073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77194">
      <w:bodyDiv w:val="1"/>
      <w:marLeft w:val="0"/>
      <w:marRight w:val="0"/>
      <w:marTop w:val="0"/>
      <w:marBottom w:val="0"/>
      <w:divBdr>
        <w:top w:val="none" w:sz="0" w:space="0" w:color="auto"/>
        <w:left w:val="none" w:sz="0" w:space="0" w:color="auto"/>
        <w:bottom w:val="none" w:sz="0" w:space="0" w:color="auto"/>
        <w:right w:val="none" w:sz="0" w:space="0" w:color="auto"/>
      </w:divBdr>
    </w:div>
    <w:div w:id="412049062">
      <w:bodyDiv w:val="1"/>
      <w:marLeft w:val="0"/>
      <w:marRight w:val="0"/>
      <w:marTop w:val="0"/>
      <w:marBottom w:val="0"/>
      <w:divBdr>
        <w:top w:val="none" w:sz="0" w:space="0" w:color="auto"/>
        <w:left w:val="none" w:sz="0" w:space="0" w:color="auto"/>
        <w:bottom w:val="none" w:sz="0" w:space="0" w:color="auto"/>
        <w:right w:val="none" w:sz="0" w:space="0" w:color="auto"/>
      </w:divBdr>
    </w:div>
    <w:div w:id="509108319">
      <w:bodyDiv w:val="1"/>
      <w:marLeft w:val="0"/>
      <w:marRight w:val="0"/>
      <w:marTop w:val="0"/>
      <w:marBottom w:val="0"/>
      <w:divBdr>
        <w:top w:val="none" w:sz="0" w:space="0" w:color="auto"/>
        <w:left w:val="none" w:sz="0" w:space="0" w:color="auto"/>
        <w:bottom w:val="none" w:sz="0" w:space="0" w:color="auto"/>
        <w:right w:val="none" w:sz="0" w:space="0" w:color="auto"/>
      </w:divBdr>
      <w:divsChild>
        <w:div w:id="1543597184">
          <w:marLeft w:val="0"/>
          <w:marRight w:val="0"/>
          <w:marTop w:val="0"/>
          <w:marBottom w:val="240"/>
          <w:divBdr>
            <w:top w:val="none" w:sz="0" w:space="0" w:color="auto"/>
            <w:left w:val="none" w:sz="0" w:space="0" w:color="auto"/>
            <w:bottom w:val="none" w:sz="0" w:space="0" w:color="auto"/>
            <w:right w:val="none" w:sz="0" w:space="0" w:color="auto"/>
          </w:divBdr>
        </w:div>
        <w:div w:id="61805028">
          <w:marLeft w:val="0"/>
          <w:marRight w:val="0"/>
          <w:marTop w:val="0"/>
          <w:marBottom w:val="240"/>
          <w:divBdr>
            <w:top w:val="none" w:sz="0" w:space="0" w:color="auto"/>
            <w:left w:val="none" w:sz="0" w:space="0" w:color="auto"/>
            <w:bottom w:val="none" w:sz="0" w:space="0" w:color="auto"/>
            <w:right w:val="none" w:sz="0" w:space="0" w:color="auto"/>
          </w:divBdr>
        </w:div>
      </w:divsChild>
    </w:div>
    <w:div w:id="673067844">
      <w:bodyDiv w:val="1"/>
      <w:marLeft w:val="0"/>
      <w:marRight w:val="0"/>
      <w:marTop w:val="0"/>
      <w:marBottom w:val="0"/>
      <w:divBdr>
        <w:top w:val="none" w:sz="0" w:space="0" w:color="auto"/>
        <w:left w:val="none" w:sz="0" w:space="0" w:color="auto"/>
        <w:bottom w:val="none" w:sz="0" w:space="0" w:color="auto"/>
        <w:right w:val="none" w:sz="0" w:space="0" w:color="auto"/>
      </w:divBdr>
    </w:div>
    <w:div w:id="837116769">
      <w:bodyDiv w:val="1"/>
      <w:marLeft w:val="0"/>
      <w:marRight w:val="0"/>
      <w:marTop w:val="0"/>
      <w:marBottom w:val="0"/>
      <w:divBdr>
        <w:top w:val="none" w:sz="0" w:space="0" w:color="auto"/>
        <w:left w:val="none" w:sz="0" w:space="0" w:color="auto"/>
        <w:bottom w:val="none" w:sz="0" w:space="0" w:color="auto"/>
        <w:right w:val="none" w:sz="0" w:space="0" w:color="auto"/>
      </w:divBdr>
    </w:div>
    <w:div w:id="1369644529">
      <w:bodyDiv w:val="1"/>
      <w:marLeft w:val="0"/>
      <w:marRight w:val="0"/>
      <w:marTop w:val="0"/>
      <w:marBottom w:val="0"/>
      <w:divBdr>
        <w:top w:val="none" w:sz="0" w:space="0" w:color="auto"/>
        <w:left w:val="none" w:sz="0" w:space="0" w:color="auto"/>
        <w:bottom w:val="none" w:sz="0" w:space="0" w:color="auto"/>
        <w:right w:val="none" w:sz="0" w:space="0" w:color="auto"/>
      </w:divBdr>
    </w:div>
    <w:div w:id="1456215933">
      <w:bodyDiv w:val="1"/>
      <w:marLeft w:val="0"/>
      <w:marRight w:val="0"/>
      <w:marTop w:val="0"/>
      <w:marBottom w:val="0"/>
      <w:divBdr>
        <w:top w:val="none" w:sz="0" w:space="0" w:color="auto"/>
        <w:left w:val="none" w:sz="0" w:space="0" w:color="auto"/>
        <w:bottom w:val="none" w:sz="0" w:space="0" w:color="auto"/>
        <w:right w:val="none" w:sz="0" w:space="0" w:color="auto"/>
      </w:divBdr>
      <w:divsChild>
        <w:div w:id="1594317289">
          <w:marLeft w:val="0"/>
          <w:marRight w:val="0"/>
          <w:marTop w:val="0"/>
          <w:marBottom w:val="240"/>
          <w:divBdr>
            <w:top w:val="none" w:sz="0" w:space="0" w:color="auto"/>
            <w:left w:val="none" w:sz="0" w:space="0" w:color="auto"/>
            <w:bottom w:val="none" w:sz="0" w:space="0" w:color="auto"/>
            <w:right w:val="none" w:sz="0" w:space="0" w:color="auto"/>
          </w:divBdr>
        </w:div>
        <w:div w:id="154798317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Glover</dc:creator>
  <cp:keywords/>
  <dc:description/>
  <cp:lastModifiedBy>Seth Glover</cp:lastModifiedBy>
  <cp:revision>4</cp:revision>
  <dcterms:created xsi:type="dcterms:W3CDTF">2025-05-12T05:41:00Z</dcterms:created>
  <dcterms:modified xsi:type="dcterms:W3CDTF">2025-05-16T15:01:00Z</dcterms:modified>
</cp:coreProperties>
</file>