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54689" w14:textId="5186FE4D" w:rsidR="00985B04" w:rsidRDefault="00985B04" w:rsidP="00985B04">
      <w:pPr>
        <w:rPr>
          <w:b/>
          <w:bCs/>
        </w:rPr>
      </w:pPr>
      <w:r>
        <w:rPr>
          <w:b/>
          <w:bCs/>
        </w:rPr>
        <w:t>Seth Glover</w:t>
      </w:r>
    </w:p>
    <w:p w14:paraId="438D5C15" w14:textId="08429D3D" w:rsidR="00985B04" w:rsidRDefault="00985B04" w:rsidP="00985B04">
      <w:pPr>
        <w:rPr>
          <w:b/>
          <w:bCs/>
        </w:rPr>
      </w:pPr>
      <w:r>
        <w:rPr>
          <w:b/>
          <w:bCs/>
        </w:rPr>
        <w:t>5/4/2025</w:t>
      </w:r>
    </w:p>
    <w:p w14:paraId="0053BAF0" w14:textId="1BA5A595" w:rsidR="00985B04" w:rsidRDefault="00985B04" w:rsidP="00985B04">
      <w:pPr>
        <w:rPr>
          <w:b/>
          <w:bCs/>
        </w:rPr>
      </w:pPr>
      <w:r>
        <w:rPr>
          <w:b/>
          <w:bCs/>
        </w:rPr>
        <w:t>CSD 380</w:t>
      </w:r>
    </w:p>
    <w:p w14:paraId="651182B3" w14:textId="0865AFED" w:rsidR="008A2DBC" w:rsidRDefault="008A2DBC" w:rsidP="00985B04">
      <w:pPr>
        <w:rPr>
          <w:b/>
          <w:bCs/>
        </w:rPr>
      </w:pPr>
      <w:r>
        <w:rPr>
          <w:b/>
          <w:bCs/>
        </w:rPr>
        <w:t>Module 8 Assignment</w:t>
      </w:r>
    </w:p>
    <w:p w14:paraId="4967FA2A" w14:textId="77777777" w:rsidR="00985B04" w:rsidRPr="00985B04" w:rsidRDefault="00985B04" w:rsidP="00985B04">
      <w:r w:rsidRPr="00985B04">
        <w:t>The Dangers of Change Approval Processes</w:t>
      </w:r>
    </w:p>
    <w:p w14:paraId="34F50722" w14:textId="77777777" w:rsidR="00985B04" w:rsidRPr="00985B04" w:rsidRDefault="00985B04" w:rsidP="00985B04">
      <w:proofErr w:type="gramStart"/>
      <w:r w:rsidRPr="00985B04">
        <w:t>Change</w:t>
      </w:r>
      <w:proofErr w:type="gramEnd"/>
      <w:r w:rsidRPr="00985B04">
        <w:t xml:space="preserve"> approval processes are essential to ensure that organizational changes are introduced safely and with minimal disruption. However, when these processes become overly rigid, they can introduce serious risks, including delays, inefficiencies, and even security vulnerabilities.</w:t>
      </w:r>
    </w:p>
    <w:p w14:paraId="371F7014" w14:textId="77777777" w:rsidR="00985B04" w:rsidRPr="00985B04" w:rsidRDefault="00985B04" w:rsidP="00985B04">
      <w:r w:rsidRPr="00985B04">
        <w:t>One major issue is operational disruption. Overly complex or slow approval procedures often delay necessary changes, negatively affecting productivity and customer service. In contrast, rushed approvals without proper oversight can lead to system failures (</w:t>
      </w:r>
      <w:hyperlink r:id="rId5" w:tgtFrame="_new" w:history="1">
        <w:r w:rsidRPr="00985B04">
          <w:rPr>
            <w:rStyle w:val="Hyperlink"/>
          </w:rPr>
          <w:t>1</w:t>
        </w:r>
      </w:hyperlink>
      <w:r w:rsidRPr="00985B04">
        <w:t>). Security is another critical concern; insufficient scrutiny may allow vulnerabilities into production, risking data breaches and loss of trust (</w:t>
      </w:r>
      <w:hyperlink r:id="rId6" w:tgtFrame="_new" w:history="1">
        <w:r w:rsidRPr="00985B04">
          <w:rPr>
            <w:rStyle w:val="Hyperlink"/>
          </w:rPr>
          <w:t>1</w:t>
        </w:r>
      </w:hyperlink>
      <w:r w:rsidRPr="00985B04">
        <w:t>).</w:t>
      </w:r>
    </w:p>
    <w:p w14:paraId="4C1B891B" w14:textId="429A445C" w:rsidR="00985B04" w:rsidRPr="00985B04" w:rsidRDefault="00985B04" w:rsidP="00985B04">
      <w:r w:rsidRPr="00985B04">
        <w:t>Financial implications also emerge when poorly managed approvals lead to scope creep or missed deadlines, potentially disrupting revenue-generating activities and exceeding budgets (</w:t>
      </w:r>
      <w:hyperlink r:id="rId7" w:tgtFrame="_new" w:history="1">
        <w:r w:rsidRPr="00985B04">
          <w:rPr>
            <w:rStyle w:val="Hyperlink"/>
          </w:rPr>
          <w:t>2</w:t>
        </w:r>
      </w:hyperlink>
      <w:r w:rsidRPr="00985B04">
        <w:t>). Compliance is at stake as well</w:t>
      </w:r>
      <w:r w:rsidR="008A2DBC">
        <w:t xml:space="preserve"> </w:t>
      </w:r>
      <w:r w:rsidRPr="00985B04">
        <w:t>if changes fail to meet regulatory standards, organizations may face legal penalties and reputational harm (</w:t>
      </w:r>
      <w:hyperlink r:id="rId8" w:tgtFrame="_new" w:history="1">
        <w:r w:rsidRPr="00985B04">
          <w:rPr>
            <w:rStyle w:val="Hyperlink"/>
          </w:rPr>
          <w:t>1</w:t>
        </w:r>
      </w:hyperlink>
      <w:r w:rsidRPr="00985B04">
        <w:t>).</w:t>
      </w:r>
    </w:p>
    <w:p w14:paraId="5767A27B" w14:textId="77777777" w:rsidR="00985B04" w:rsidRPr="00985B04" w:rsidRDefault="00985B04" w:rsidP="00985B04">
      <w:r w:rsidRPr="00985B04">
        <w:t>Additionally, inefficient change approval processes can erode stakeholder trust. Customers encountering repeated service interruptions may lose confidence in the organization. Internally, lack of employee involvement in change decisions can lead to resistance and morale issues (</w:t>
      </w:r>
      <w:hyperlink r:id="rId9" w:tgtFrame="_new" w:history="1">
        <w:r w:rsidRPr="00985B04">
          <w:rPr>
            <w:rStyle w:val="Hyperlink"/>
          </w:rPr>
          <w:t>2</w:t>
        </w:r>
      </w:hyperlink>
      <w:r w:rsidRPr="00985B04">
        <w:t>).</w:t>
      </w:r>
    </w:p>
    <w:p w14:paraId="3DD12213" w14:textId="4D959712" w:rsidR="00985B04" w:rsidRPr="00985B04" w:rsidRDefault="00985B04" w:rsidP="00985B04">
      <w:r w:rsidRPr="00985B04">
        <w:t xml:space="preserve">Traditional mechanisms like Change Advisory Boards </w:t>
      </w:r>
      <w:r w:rsidR="008A2DBC">
        <w:t>[</w:t>
      </w:r>
      <w:r w:rsidRPr="00985B04">
        <w:t>CABs</w:t>
      </w:r>
      <w:r w:rsidR="008A2DBC">
        <w:t>]</w:t>
      </w:r>
      <w:r w:rsidRPr="00985B04">
        <w:t xml:space="preserve"> can become bottlenecks, especially when managing high volumes of changes. Delays from these structures can lead to bulk deployments, increasing the risk of widespread failure (</w:t>
      </w:r>
      <w:hyperlink r:id="rId10" w:tgtFrame="_new" w:history="1">
        <w:r w:rsidRPr="00985B04">
          <w:rPr>
            <w:rStyle w:val="Hyperlink"/>
          </w:rPr>
          <w:t>4</w:t>
        </w:r>
      </w:hyperlink>
      <w:r w:rsidRPr="00985B04">
        <w:t>). Manual approvals can also cause errors, but risk-based automation offers a more efficient solution (</w:t>
      </w:r>
      <w:hyperlink r:id="rId11" w:tgtFrame="_new" w:history="1">
        <w:r w:rsidRPr="00985B04">
          <w:rPr>
            <w:rStyle w:val="Hyperlink"/>
          </w:rPr>
          <w:t>5</w:t>
        </w:r>
      </w:hyperlink>
      <w:r w:rsidRPr="00985B04">
        <w:t>).</w:t>
      </w:r>
    </w:p>
    <w:p w14:paraId="1B150121" w14:textId="77777777" w:rsidR="00985B04" w:rsidRPr="00985B04" w:rsidRDefault="00985B04" w:rsidP="00985B04">
      <w:r w:rsidRPr="00985B04">
        <w:t>In conclusion, while change approvals are vital, organizations must streamline and modernize these processes to avoid the hidden dangers of rigidity, inefficiency, and resistance.</w:t>
      </w:r>
    </w:p>
    <w:p w14:paraId="46DAEC0E" w14:textId="5289FBB1" w:rsidR="00985B04" w:rsidRDefault="00985B04" w:rsidP="00985B04">
      <w:r>
        <w:t>Sources:</w:t>
      </w:r>
    </w:p>
    <w:p w14:paraId="45C041A9" w14:textId="3F95ED94" w:rsidR="00985B04" w:rsidRDefault="00985B04" w:rsidP="00985B04">
      <w:pPr>
        <w:pStyle w:val="ListParagraph"/>
        <w:numPr>
          <w:ilvl w:val="0"/>
          <w:numId w:val="6"/>
        </w:numPr>
      </w:pPr>
      <w:hyperlink r:id="rId12" w:history="1">
        <w:r w:rsidRPr="00F35CA0">
          <w:rPr>
            <w:rStyle w:val="Hyperlink"/>
          </w:rPr>
          <w:t>https://blog.invgate.com/change-management-risks</w:t>
        </w:r>
      </w:hyperlink>
    </w:p>
    <w:p w14:paraId="3DFABBDD" w14:textId="765F56E9" w:rsidR="00985B04" w:rsidRDefault="00985B04" w:rsidP="00985B04">
      <w:pPr>
        <w:pStyle w:val="ListParagraph"/>
        <w:numPr>
          <w:ilvl w:val="0"/>
          <w:numId w:val="6"/>
        </w:numPr>
      </w:pPr>
      <w:hyperlink r:id="rId13" w:history="1">
        <w:r w:rsidRPr="00F35CA0">
          <w:rPr>
            <w:rStyle w:val="Hyperlink"/>
          </w:rPr>
          <w:t>https://www.compliancequest.com/bloglet/change-management-risk/</w:t>
        </w:r>
      </w:hyperlink>
    </w:p>
    <w:p w14:paraId="6813699B" w14:textId="32C631FB" w:rsidR="00985B04" w:rsidRDefault="00985B04" w:rsidP="00985B04">
      <w:pPr>
        <w:pStyle w:val="ListParagraph"/>
        <w:numPr>
          <w:ilvl w:val="0"/>
          <w:numId w:val="6"/>
        </w:numPr>
      </w:pPr>
      <w:hyperlink r:id="rId14" w:history="1">
        <w:r w:rsidRPr="00F35CA0">
          <w:rPr>
            <w:rStyle w:val="Hyperlink"/>
          </w:rPr>
          <w:t>https://blog.invgate.com/change-management-risks</w:t>
        </w:r>
      </w:hyperlink>
    </w:p>
    <w:p w14:paraId="09C29F36" w14:textId="120DD46A" w:rsidR="00985B04" w:rsidRDefault="00985B04" w:rsidP="00985B04">
      <w:pPr>
        <w:pStyle w:val="ListParagraph"/>
        <w:numPr>
          <w:ilvl w:val="0"/>
          <w:numId w:val="6"/>
        </w:numPr>
      </w:pPr>
      <w:hyperlink r:id="rId15" w:history="1">
        <w:r w:rsidRPr="00F35CA0">
          <w:rPr>
            <w:rStyle w:val="Hyperlink"/>
          </w:rPr>
          <w:t>https://dora.dev/capabilities/streamlining-change-approval/</w:t>
        </w:r>
      </w:hyperlink>
    </w:p>
    <w:p w14:paraId="5269D96B" w14:textId="49C01C5B" w:rsidR="00985B04" w:rsidRPr="00985B04" w:rsidRDefault="00985B04" w:rsidP="00985B04">
      <w:pPr>
        <w:pStyle w:val="ListParagraph"/>
        <w:numPr>
          <w:ilvl w:val="0"/>
          <w:numId w:val="6"/>
        </w:numPr>
      </w:pPr>
      <w:r w:rsidRPr="00985B04">
        <w:t>https://www.itconductor.com/blog/change-management-devops-integration</w:t>
      </w:r>
    </w:p>
    <w:p w14:paraId="15B15141" w14:textId="77777777" w:rsidR="003E70C9" w:rsidRPr="00721B97" w:rsidRDefault="003E70C9" w:rsidP="00721B97"/>
    <w:sectPr w:rsidR="003E70C9" w:rsidRPr="0072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20518"/>
    <w:multiLevelType w:val="hybridMultilevel"/>
    <w:tmpl w:val="6400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73865"/>
    <w:multiLevelType w:val="multilevel"/>
    <w:tmpl w:val="6AE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18C"/>
    <w:multiLevelType w:val="hybridMultilevel"/>
    <w:tmpl w:val="D3D4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B12A6"/>
    <w:multiLevelType w:val="multilevel"/>
    <w:tmpl w:val="1FD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F72A7"/>
    <w:multiLevelType w:val="multilevel"/>
    <w:tmpl w:val="7DA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379D7"/>
    <w:multiLevelType w:val="multilevel"/>
    <w:tmpl w:val="23D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54713">
    <w:abstractNumId w:val="1"/>
  </w:num>
  <w:num w:numId="2" w16cid:durableId="541668992">
    <w:abstractNumId w:val="3"/>
  </w:num>
  <w:num w:numId="3" w16cid:durableId="650787602">
    <w:abstractNumId w:val="4"/>
  </w:num>
  <w:num w:numId="4" w16cid:durableId="644164733">
    <w:abstractNumId w:val="5"/>
  </w:num>
  <w:num w:numId="5" w16cid:durableId="1089230194">
    <w:abstractNumId w:val="0"/>
  </w:num>
  <w:num w:numId="6" w16cid:durableId="314801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47"/>
    <w:rsid w:val="003B6A7C"/>
    <w:rsid w:val="003E70C9"/>
    <w:rsid w:val="004C045C"/>
    <w:rsid w:val="005B74D4"/>
    <w:rsid w:val="006B26B4"/>
    <w:rsid w:val="00721B97"/>
    <w:rsid w:val="00731EA6"/>
    <w:rsid w:val="00862847"/>
    <w:rsid w:val="008A2DBC"/>
    <w:rsid w:val="00985B04"/>
    <w:rsid w:val="00A84534"/>
    <w:rsid w:val="00AC32D8"/>
    <w:rsid w:val="00B54914"/>
    <w:rsid w:val="00E47C7D"/>
    <w:rsid w:val="00E7170D"/>
    <w:rsid w:val="00EC51F5"/>
    <w:rsid w:val="00F026EF"/>
    <w:rsid w:val="00F34DA9"/>
    <w:rsid w:val="00FC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0E2D"/>
  <w15:chartTrackingRefBased/>
  <w15:docId w15:val="{44D7C895-FF7E-490B-B2FA-B36B77F0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847"/>
    <w:rPr>
      <w:rFonts w:eastAsiaTheme="majorEastAsia" w:cstheme="majorBidi"/>
      <w:color w:val="272727" w:themeColor="text1" w:themeTint="D8"/>
    </w:rPr>
  </w:style>
  <w:style w:type="paragraph" w:styleId="Title">
    <w:name w:val="Title"/>
    <w:basedOn w:val="Normal"/>
    <w:next w:val="Normal"/>
    <w:link w:val="TitleChar"/>
    <w:uiPriority w:val="10"/>
    <w:qFormat/>
    <w:rsid w:val="00862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847"/>
    <w:pPr>
      <w:spacing w:before="160"/>
      <w:jc w:val="center"/>
    </w:pPr>
    <w:rPr>
      <w:i/>
      <w:iCs/>
      <w:color w:val="404040" w:themeColor="text1" w:themeTint="BF"/>
    </w:rPr>
  </w:style>
  <w:style w:type="character" w:customStyle="1" w:styleId="QuoteChar">
    <w:name w:val="Quote Char"/>
    <w:basedOn w:val="DefaultParagraphFont"/>
    <w:link w:val="Quote"/>
    <w:uiPriority w:val="29"/>
    <w:rsid w:val="00862847"/>
    <w:rPr>
      <w:i/>
      <w:iCs/>
      <w:color w:val="404040" w:themeColor="text1" w:themeTint="BF"/>
    </w:rPr>
  </w:style>
  <w:style w:type="paragraph" w:styleId="ListParagraph">
    <w:name w:val="List Paragraph"/>
    <w:basedOn w:val="Normal"/>
    <w:uiPriority w:val="34"/>
    <w:qFormat/>
    <w:rsid w:val="00862847"/>
    <w:pPr>
      <w:ind w:left="720"/>
      <w:contextualSpacing/>
    </w:pPr>
  </w:style>
  <w:style w:type="character" w:styleId="IntenseEmphasis">
    <w:name w:val="Intense Emphasis"/>
    <w:basedOn w:val="DefaultParagraphFont"/>
    <w:uiPriority w:val="21"/>
    <w:qFormat/>
    <w:rsid w:val="00862847"/>
    <w:rPr>
      <w:i/>
      <w:iCs/>
      <w:color w:val="0F4761" w:themeColor="accent1" w:themeShade="BF"/>
    </w:rPr>
  </w:style>
  <w:style w:type="paragraph" w:styleId="IntenseQuote">
    <w:name w:val="Intense Quote"/>
    <w:basedOn w:val="Normal"/>
    <w:next w:val="Normal"/>
    <w:link w:val="IntenseQuoteChar"/>
    <w:uiPriority w:val="30"/>
    <w:qFormat/>
    <w:rsid w:val="00862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847"/>
    <w:rPr>
      <w:i/>
      <w:iCs/>
      <w:color w:val="0F4761" w:themeColor="accent1" w:themeShade="BF"/>
    </w:rPr>
  </w:style>
  <w:style w:type="character" w:styleId="IntenseReference">
    <w:name w:val="Intense Reference"/>
    <w:basedOn w:val="DefaultParagraphFont"/>
    <w:uiPriority w:val="32"/>
    <w:qFormat/>
    <w:rsid w:val="00862847"/>
    <w:rPr>
      <w:b/>
      <w:bCs/>
      <w:smallCaps/>
      <w:color w:val="0F4761" w:themeColor="accent1" w:themeShade="BF"/>
      <w:spacing w:val="5"/>
    </w:rPr>
  </w:style>
  <w:style w:type="character" w:styleId="Hyperlink">
    <w:name w:val="Hyperlink"/>
    <w:basedOn w:val="DefaultParagraphFont"/>
    <w:uiPriority w:val="99"/>
    <w:unhideWhenUsed/>
    <w:rsid w:val="00985B04"/>
    <w:rPr>
      <w:color w:val="467886" w:themeColor="hyperlink"/>
      <w:u w:val="single"/>
    </w:rPr>
  </w:style>
  <w:style w:type="character" w:styleId="UnresolvedMention">
    <w:name w:val="Unresolved Mention"/>
    <w:basedOn w:val="DefaultParagraphFont"/>
    <w:uiPriority w:val="99"/>
    <w:semiHidden/>
    <w:unhideWhenUsed/>
    <w:rsid w:val="00985B04"/>
    <w:rPr>
      <w:color w:val="605E5C"/>
      <w:shd w:val="clear" w:color="auto" w:fill="E1DFDD"/>
    </w:rPr>
  </w:style>
  <w:style w:type="character" w:styleId="FollowedHyperlink">
    <w:name w:val="FollowedHyperlink"/>
    <w:basedOn w:val="DefaultParagraphFont"/>
    <w:uiPriority w:val="99"/>
    <w:semiHidden/>
    <w:unhideWhenUsed/>
    <w:rsid w:val="00985B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58267">
      <w:bodyDiv w:val="1"/>
      <w:marLeft w:val="0"/>
      <w:marRight w:val="0"/>
      <w:marTop w:val="0"/>
      <w:marBottom w:val="0"/>
      <w:divBdr>
        <w:top w:val="none" w:sz="0" w:space="0" w:color="auto"/>
        <w:left w:val="none" w:sz="0" w:space="0" w:color="auto"/>
        <w:bottom w:val="none" w:sz="0" w:space="0" w:color="auto"/>
        <w:right w:val="none" w:sz="0" w:space="0" w:color="auto"/>
      </w:divBdr>
    </w:div>
    <w:div w:id="143592095">
      <w:bodyDiv w:val="1"/>
      <w:marLeft w:val="0"/>
      <w:marRight w:val="0"/>
      <w:marTop w:val="0"/>
      <w:marBottom w:val="0"/>
      <w:divBdr>
        <w:top w:val="none" w:sz="0" w:space="0" w:color="auto"/>
        <w:left w:val="none" w:sz="0" w:space="0" w:color="auto"/>
        <w:bottom w:val="none" w:sz="0" w:space="0" w:color="auto"/>
        <w:right w:val="none" w:sz="0" w:space="0" w:color="auto"/>
      </w:divBdr>
    </w:div>
    <w:div w:id="181944750">
      <w:bodyDiv w:val="1"/>
      <w:marLeft w:val="0"/>
      <w:marRight w:val="0"/>
      <w:marTop w:val="0"/>
      <w:marBottom w:val="0"/>
      <w:divBdr>
        <w:top w:val="none" w:sz="0" w:space="0" w:color="auto"/>
        <w:left w:val="none" w:sz="0" w:space="0" w:color="auto"/>
        <w:bottom w:val="none" w:sz="0" w:space="0" w:color="auto"/>
        <w:right w:val="none" w:sz="0" w:space="0" w:color="auto"/>
      </w:divBdr>
      <w:divsChild>
        <w:div w:id="105390263">
          <w:marLeft w:val="0"/>
          <w:marRight w:val="0"/>
          <w:marTop w:val="0"/>
          <w:marBottom w:val="240"/>
          <w:divBdr>
            <w:top w:val="none" w:sz="0" w:space="0" w:color="auto"/>
            <w:left w:val="none" w:sz="0" w:space="0" w:color="auto"/>
            <w:bottom w:val="none" w:sz="0" w:space="0" w:color="auto"/>
            <w:right w:val="none" w:sz="0" w:space="0" w:color="auto"/>
          </w:divBdr>
        </w:div>
        <w:div w:id="765004738">
          <w:marLeft w:val="0"/>
          <w:marRight w:val="0"/>
          <w:marTop w:val="0"/>
          <w:marBottom w:val="240"/>
          <w:divBdr>
            <w:top w:val="none" w:sz="0" w:space="0" w:color="auto"/>
            <w:left w:val="none" w:sz="0" w:space="0" w:color="auto"/>
            <w:bottom w:val="none" w:sz="0" w:space="0" w:color="auto"/>
            <w:right w:val="none" w:sz="0" w:space="0" w:color="auto"/>
          </w:divBdr>
        </w:div>
      </w:divsChild>
    </w:div>
    <w:div w:id="247084367">
      <w:bodyDiv w:val="1"/>
      <w:marLeft w:val="0"/>
      <w:marRight w:val="0"/>
      <w:marTop w:val="0"/>
      <w:marBottom w:val="0"/>
      <w:divBdr>
        <w:top w:val="none" w:sz="0" w:space="0" w:color="auto"/>
        <w:left w:val="none" w:sz="0" w:space="0" w:color="auto"/>
        <w:bottom w:val="none" w:sz="0" w:space="0" w:color="auto"/>
        <w:right w:val="none" w:sz="0" w:space="0" w:color="auto"/>
      </w:divBdr>
    </w:div>
    <w:div w:id="452944797">
      <w:bodyDiv w:val="1"/>
      <w:marLeft w:val="0"/>
      <w:marRight w:val="0"/>
      <w:marTop w:val="0"/>
      <w:marBottom w:val="0"/>
      <w:divBdr>
        <w:top w:val="none" w:sz="0" w:space="0" w:color="auto"/>
        <w:left w:val="none" w:sz="0" w:space="0" w:color="auto"/>
        <w:bottom w:val="none" w:sz="0" w:space="0" w:color="auto"/>
        <w:right w:val="none" w:sz="0" w:space="0" w:color="auto"/>
      </w:divBdr>
    </w:div>
    <w:div w:id="507914161">
      <w:bodyDiv w:val="1"/>
      <w:marLeft w:val="0"/>
      <w:marRight w:val="0"/>
      <w:marTop w:val="0"/>
      <w:marBottom w:val="0"/>
      <w:divBdr>
        <w:top w:val="none" w:sz="0" w:space="0" w:color="auto"/>
        <w:left w:val="none" w:sz="0" w:space="0" w:color="auto"/>
        <w:bottom w:val="none" w:sz="0" w:space="0" w:color="auto"/>
        <w:right w:val="none" w:sz="0" w:space="0" w:color="auto"/>
      </w:divBdr>
    </w:div>
    <w:div w:id="563878632">
      <w:bodyDiv w:val="1"/>
      <w:marLeft w:val="0"/>
      <w:marRight w:val="0"/>
      <w:marTop w:val="0"/>
      <w:marBottom w:val="0"/>
      <w:divBdr>
        <w:top w:val="none" w:sz="0" w:space="0" w:color="auto"/>
        <w:left w:val="none" w:sz="0" w:space="0" w:color="auto"/>
        <w:bottom w:val="none" w:sz="0" w:space="0" w:color="auto"/>
        <w:right w:val="none" w:sz="0" w:space="0" w:color="auto"/>
      </w:divBdr>
    </w:div>
    <w:div w:id="630670029">
      <w:bodyDiv w:val="1"/>
      <w:marLeft w:val="0"/>
      <w:marRight w:val="0"/>
      <w:marTop w:val="0"/>
      <w:marBottom w:val="0"/>
      <w:divBdr>
        <w:top w:val="none" w:sz="0" w:space="0" w:color="auto"/>
        <w:left w:val="none" w:sz="0" w:space="0" w:color="auto"/>
        <w:bottom w:val="none" w:sz="0" w:space="0" w:color="auto"/>
        <w:right w:val="none" w:sz="0" w:space="0" w:color="auto"/>
      </w:divBdr>
    </w:div>
    <w:div w:id="1163007874">
      <w:bodyDiv w:val="1"/>
      <w:marLeft w:val="0"/>
      <w:marRight w:val="0"/>
      <w:marTop w:val="0"/>
      <w:marBottom w:val="0"/>
      <w:divBdr>
        <w:top w:val="none" w:sz="0" w:space="0" w:color="auto"/>
        <w:left w:val="none" w:sz="0" w:space="0" w:color="auto"/>
        <w:bottom w:val="none" w:sz="0" w:space="0" w:color="auto"/>
        <w:right w:val="none" w:sz="0" w:space="0" w:color="auto"/>
      </w:divBdr>
      <w:divsChild>
        <w:div w:id="1621492729">
          <w:marLeft w:val="0"/>
          <w:marRight w:val="0"/>
          <w:marTop w:val="0"/>
          <w:marBottom w:val="240"/>
          <w:divBdr>
            <w:top w:val="none" w:sz="0" w:space="0" w:color="auto"/>
            <w:left w:val="none" w:sz="0" w:space="0" w:color="auto"/>
            <w:bottom w:val="none" w:sz="0" w:space="0" w:color="auto"/>
            <w:right w:val="none" w:sz="0" w:space="0" w:color="auto"/>
          </w:divBdr>
        </w:div>
        <w:div w:id="1939749614">
          <w:marLeft w:val="0"/>
          <w:marRight w:val="0"/>
          <w:marTop w:val="0"/>
          <w:marBottom w:val="240"/>
          <w:divBdr>
            <w:top w:val="none" w:sz="0" w:space="0" w:color="auto"/>
            <w:left w:val="none" w:sz="0" w:space="0" w:color="auto"/>
            <w:bottom w:val="none" w:sz="0" w:space="0" w:color="auto"/>
            <w:right w:val="none" w:sz="0" w:space="0" w:color="auto"/>
          </w:divBdr>
        </w:div>
      </w:divsChild>
    </w:div>
    <w:div w:id="1163279806">
      <w:bodyDiv w:val="1"/>
      <w:marLeft w:val="0"/>
      <w:marRight w:val="0"/>
      <w:marTop w:val="0"/>
      <w:marBottom w:val="0"/>
      <w:divBdr>
        <w:top w:val="none" w:sz="0" w:space="0" w:color="auto"/>
        <w:left w:val="none" w:sz="0" w:space="0" w:color="auto"/>
        <w:bottom w:val="none" w:sz="0" w:space="0" w:color="auto"/>
        <w:right w:val="none" w:sz="0" w:space="0" w:color="auto"/>
      </w:divBdr>
    </w:div>
    <w:div w:id="1304968023">
      <w:bodyDiv w:val="1"/>
      <w:marLeft w:val="0"/>
      <w:marRight w:val="0"/>
      <w:marTop w:val="0"/>
      <w:marBottom w:val="0"/>
      <w:divBdr>
        <w:top w:val="none" w:sz="0" w:space="0" w:color="auto"/>
        <w:left w:val="none" w:sz="0" w:space="0" w:color="auto"/>
        <w:bottom w:val="none" w:sz="0" w:space="0" w:color="auto"/>
        <w:right w:val="none" w:sz="0" w:space="0" w:color="auto"/>
      </w:divBdr>
    </w:div>
    <w:div w:id="1438793769">
      <w:bodyDiv w:val="1"/>
      <w:marLeft w:val="0"/>
      <w:marRight w:val="0"/>
      <w:marTop w:val="0"/>
      <w:marBottom w:val="0"/>
      <w:divBdr>
        <w:top w:val="none" w:sz="0" w:space="0" w:color="auto"/>
        <w:left w:val="none" w:sz="0" w:space="0" w:color="auto"/>
        <w:bottom w:val="none" w:sz="0" w:space="0" w:color="auto"/>
        <w:right w:val="none" w:sz="0" w:space="0" w:color="auto"/>
      </w:divBdr>
    </w:div>
    <w:div w:id="1453134046">
      <w:bodyDiv w:val="1"/>
      <w:marLeft w:val="0"/>
      <w:marRight w:val="0"/>
      <w:marTop w:val="0"/>
      <w:marBottom w:val="0"/>
      <w:divBdr>
        <w:top w:val="none" w:sz="0" w:space="0" w:color="auto"/>
        <w:left w:val="none" w:sz="0" w:space="0" w:color="auto"/>
        <w:bottom w:val="none" w:sz="0" w:space="0" w:color="auto"/>
        <w:right w:val="none" w:sz="0" w:space="0" w:color="auto"/>
      </w:divBdr>
    </w:div>
    <w:div w:id="1468083250">
      <w:bodyDiv w:val="1"/>
      <w:marLeft w:val="0"/>
      <w:marRight w:val="0"/>
      <w:marTop w:val="0"/>
      <w:marBottom w:val="0"/>
      <w:divBdr>
        <w:top w:val="none" w:sz="0" w:space="0" w:color="auto"/>
        <w:left w:val="none" w:sz="0" w:space="0" w:color="auto"/>
        <w:bottom w:val="none" w:sz="0" w:space="0" w:color="auto"/>
        <w:right w:val="none" w:sz="0" w:space="0" w:color="auto"/>
      </w:divBdr>
    </w:div>
    <w:div w:id="1819036430">
      <w:bodyDiv w:val="1"/>
      <w:marLeft w:val="0"/>
      <w:marRight w:val="0"/>
      <w:marTop w:val="0"/>
      <w:marBottom w:val="0"/>
      <w:divBdr>
        <w:top w:val="none" w:sz="0" w:space="0" w:color="auto"/>
        <w:left w:val="none" w:sz="0" w:space="0" w:color="auto"/>
        <w:bottom w:val="none" w:sz="0" w:space="0" w:color="auto"/>
        <w:right w:val="none" w:sz="0" w:space="0" w:color="auto"/>
      </w:divBdr>
    </w:div>
    <w:div w:id="2017026898">
      <w:bodyDiv w:val="1"/>
      <w:marLeft w:val="0"/>
      <w:marRight w:val="0"/>
      <w:marTop w:val="0"/>
      <w:marBottom w:val="0"/>
      <w:divBdr>
        <w:top w:val="none" w:sz="0" w:space="0" w:color="auto"/>
        <w:left w:val="none" w:sz="0" w:space="0" w:color="auto"/>
        <w:bottom w:val="none" w:sz="0" w:space="0" w:color="auto"/>
        <w:right w:val="none" w:sz="0" w:space="0" w:color="auto"/>
      </w:divBdr>
    </w:div>
    <w:div w:id="212029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nvgate.com/change-management-risks" TargetMode="External"/><Relationship Id="rId13" Type="http://schemas.openxmlformats.org/officeDocument/2006/relationships/hyperlink" Target="https://www.compliancequest.com/bloglet/change-management-risk/" TargetMode="External"/><Relationship Id="rId3" Type="http://schemas.openxmlformats.org/officeDocument/2006/relationships/settings" Target="settings.xml"/><Relationship Id="rId7" Type="http://schemas.openxmlformats.org/officeDocument/2006/relationships/hyperlink" Target="https://www.compliancequest.com/bloglet/change-management-risk/" TargetMode="External"/><Relationship Id="rId12" Type="http://schemas.openxmlformats.org/officeDocument/2006/relationships/hyperlink" Target="https://blog.invgate.com/change-management-ris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invgate.com/change-management-risks" TargetMode="External"/><Relationship Id="rId11" Type="http://schemas.openxmlformats.org/officeDocument/2006/relationships/hyperlink" Target="https://www.itconductor.com/blog/change-management-devops-integration" TargetMode="External"/><Relationship Id="rId5" Type="http://schemas.openxmlformats.org/officeDocument/2006/relationships/hyperlink" Target="https://blog.invgate.com/change-management-risks" TargetMode="External"/><Relationship Id="rId15" Type="http://schemas.openxmlformats.org/officeDocument/2006/relationships/hyperlink" Target="https://dora.dev/capabilities/streamlining-change-approval/" TargetMode="External"/><Relationship Id="rId10" Type="http://schemas.openxmlformats.org/officeDocument/2006/relationships/hyperlink" Target="https://dora.dev/capabilities/streamlining-change-approval/" TargetMode="External"/><Relationship Id="rId4" Type="http://schemas.openxmlformats.org/officeDocument/2006/relationships/webSettings" Target="webSettings.xml"/><Relationship Id="rId9" Type="http://schemas.openxmlformats.org/officeDocument/2006/relationships/hyperlink" Target="https://www.compliancequest.com/bloglet/change-management-risk/" TargetMode="External"/><Relationship Id="rId14" Type="http://schemas.openxmlformats.org/officeDocument/2006/relationships/hyperlink" Target="https://blog.invgate.com/change-management-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10</cp:revision>
  <dcterms:created xsi:type="dcterms:W3CDTF">2025-04-20T16:07:00Z</dcterms:created>
  <dcterms:modified xsi:type="dcterms:W3CDTF">2025-05-04T17:18:00Z</dcterms:modified>
</cp:coreProperties>
</file>