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57D97" w14:textId="77777777" w:rsidR="006D6C43" w:rsidRPr="00182A40" w:rsidRDefault="006D6C43" w:rsidP="001A33D0">
      <w:pPr>
        <w:spacing w:line="360" w:lineRule="atLeast"/>
        <w:rPr>
          <w:b/>
          <w:sz w:val="72"/>
          <w:szCs w:val="72"/>
          <w:lang w:val="fr-FR"/>
        </w:rPr>
      </w:pPr>
    </w:p>
    <w:p w14:paraId="56538668" w14:textId="77777777" w:rsidR="006D6C43" w:rsidRPr="00182A40" w:rsidRDefault="006D6C43" w:rsidP="001A33D0">
      <w:pPr>
        <w:spacing w:line="360" w:lineRule="atLeast"/>
        <w:rPr>
          <w:b/>
          <w:sz w:val="72"/>
          <w:szCs w:val="72"/>
          <w:lang w:val="fr-FR"/>
        </w:rPr>
      </w:pPr>
    </w:p>
    <w:p w14:paraId="6E407B1C" w14:textId="34FFD9CE" w:rsidR="001A33D0" w:rsidRPr="00182A40" w:rsidRDefault="007F5EDC" w:rsidP="006D6C43">
      <w:pPr>
        <w:spacing w:line="360" w:lineRule="atLeast"/>
        <w:jc w:val="center"/>
        <w:rPr>
          <w:b/>
          <w:sz w:val="72"/>
          <w:szCs w:val="72"/>
          <w:lang w:val="fr-FR"/>
        </w:rPr>
      </w:pPr>
      <w:r w:rsidRPr="00182A40">
        <w:rPr>
          <w:b/>
          <w:sz w:val="72"/>
          <w:szCs w:val="72"/>
          <w:lang w:val="fr-FR"/>
        </w:rPr>
        <w:t xml:space="preserve">Spécification </w:t>
      </w:r>
      <w:proofErr w:type="spellStart"/>
      <w:r w:rsidRPr="00182A40">
        <w:rPr>
          <w:b/>
          <w:sz w:val="72"/>
          <w:szCs w:val="72"/>
          <w:lang w:val="fr-FR"/>
        </w:rPr>
        <w:t>OpenChain</w:t>
      </w:r>
      <w:proofErr w:type="spellEnd"/>
    </w:p>
    <w:p w14:paraId="75C65F43" w14:textId="36C428DE" w:rsidR="00923F27" w:rsidRPr="00182A40" w:rsidRDefault="00923F27" w:rsidP="006D6C43">
      <w:pPr>
        <w:spacing w:line="360" w:lineRule="atLeast"/>
        <w:jc w:val="center"/>
        <w:rPr>
          <w:b/>
          <w:sz w:val="72"/>
          <w:szCs w:val="72"/>
          <w:lang w:val="fr-FR"/>
        </w:rPr>
      </w:pPr>
      <w:r w:rsidRPr="00182A40">
        <w:rPr>
          <w:b/>
          <w:sz w:val="72"/>
          <w:szCs w:val="72"/>
          <w:lang w:val="fr-FR"/>
        </w:rPr>
        <w:t>Version 2.1</w:t>
      </w:r>
    </w:p>
    <w:p w14:paraId="2C7D78C2" w14:textId="6CFDBB9E" w:rsidR="00923F27" w:rsidRPr="00182A40" w:rsidRDefault="006D6C43" w:rsidP="006D6C43">
      <w:pPr>
        <w:spacing w:line="360" w:lineRule="atLeast"/>
        <w:jc w:val="center"/>
        <w:rPr>
          <w:b/>
          <w:sz w:val="32"/>
          <w:szCs w:val="32"/>
          <w:lang w:val="fr-FR"/>
        </w:rPr>
      </w:pPr>
      <w:r w:rsidRPr="00182A40">
        <w:rPr>
          <w:b/>
          <w:noProof/>
          <w:sz w:val="32"/>
          <w:szCs w:val="32"/>
          <w:lang w:val="fr-FR"/>
        </w:rPr>
        <w:drawing>
          <wp:inline distT="0" distB="0" distL="0" distR="0" wp14:anchorId="5D138D8A" wp14:editId="11118F97">
            <wp:extent cx="2815195" cy="2815195"/>
            <wp:effectExtent l="0" t="0" r="0" b="0"/>
            <wp:docPr id="2" name="Picture 2"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  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9627" cy="2829627"/>
                    </a:xfrm>
                    <a:prstGeom prst="rect">
                      <a:avLst/>
                    </a:prstGeom>
                  </pic:spPr>
                </pic:pic>
              </a:graphicData>
            </a:graphic>
          </wp:inline>
        </w:drawing>
      </w:r>
    </w:p>
    <w:p w14:paraId="433F1F80" w14:textId="77777777" w:rsidR="006D6C43" w:rsidRPr="00182A40" w:rsidRDefault="006D6C43" w:rsidP="001A33D0">
      <w:pPr>
        <w:spacing w:line="360" w:lineRule="atLeast"/>
        <w:rPr>
          <w:b/>
          <w:sz w:val="32"/>
          <w:szCs w:val="32"/>
          <w:lang w:val="fr-FR"/>
        </w:rPr>
      </w:pPr>
    </w:p>
    <w:p w14:paraId="3DF79EEF" w14:textId="77777777" w:rsidR="006D6C43" w:rsidRPr="00182A40" w:rsidRDefault="006D6C43" w:rsidP="001A33D0">
      <w:pPr>
        <w:spacing w:line="360" w:lineRule="atLeast"/>
        <w:rPr>
          <w:b/>
          <w:sz w:val="32"/>
          <w:szCs w:val="32"/>
          <w:lang w:val="fr-FR"/>
        </w:rPr>
      </w:pPr>
    </w:p>
    <w:p w14:paraId="093E2FEB" w14:textId="77777777" w:rsidR="006D6C43" w:rsidRPr="00182A40" w:rsidRDefault="006D6C43" w:rsidP="001A33D0">
      <w:pPr>
        <w:spacing w:line="360" w:lineRule="atLeast"/>
        <w:rPr>
          <w:b/>
          <w:sz w:val="32"/>
          <w:szCs w:val="32"/>
          <w:lang w:val="fr-FR"/>
        </w:rPr>
      </w:pPr>
    </w:p>
    <w:p w14:paraId="40F818C8" w14:textId="46CB8871" w:rsidR="00923F27" w:rsidRPr="00182A40" w:rsidRDefault="00923F27" w:rsidP="001A33D0">
      <w:pPr>
        <w:spacing w:line="360" w:lineRule="atLeast"/>
        <w:rPr>
          <w:b/>
          <w:sz w:val="32"/>
          <w:szCs w:val="32"/>
          <w:lang w:val="fr-FR"/>
        </w:rPr>
      </w:pPr>
      <w:r w:rsidRPr="00182A40">
        <w:rPr>
          <w:b/>
          <w:sz w:val="32"/>
          <w:szCs w:val="32"/>
          <w:lang w:val="fr-FR"/>
        </w:rPr>
        <w:t xml:space="preserve">Cette spécification est fonctionnellement identique à : </w:t>
      </w:r>
    </w:p>
    <w:p w14:paraId="473EE16D" w14:textId="77777777" w:rsidR="00923F27" w:rsidRPr="00182A40" w:rsidRDefault="00923F27" w:rsidP="00923F27">
      <w:pPr>
        <w:pStyle w:val="ListParagraph"/>
        <w:numPr>
          <w:ilvl w:val="0"/>
          <w:numId w:val="41"/>
        </w:numPr>
        <w:spacing w:line="360" w:lineRule="atLeast"/>
        <w:rPr>
          <w:b/>
          <w:sz w:val="32"/>
          <w:szCs w:val="32"/>
          <w:lang w:val="fr-FR"/>
        </w:rPr>
      </w:pPr>
      <w:r w:rsidRPr="00182A40">
        <w:rPr>
          <w:b/>
          <w:sz w:val="32"/>
          <w:szCs w:val="32"/>
          <w:lang w:val="fr-FR"/>
        </w:rPr>
        <w:t xml:space="preserve">Spécification </w:t>
      </w:r>
      <w:proofErr w:type="spellStart"/>
      <w:r w:rsidRPr="00182A40">
        <w:rPr>
          <w:b/>
          <w:sz w:val="32"/>
          <w:szCs w:val="32"/>
          <w:lang w:val="fr-FR"/>
        </w:rPr>
        <w:t>OpenChain</w:t>
      </w:r>
      <w:proofErr w:type="spellEnd"/>
      <w:r w:rsidRPr="00182A40">
        <w:rPr>
          <w:b/>
          <w:sz w:val="32"/>
          <w:szCs w:val="32"/>
          <w:lang w:val="fr-FR"/>
        </w:rPr>
        <w:t xml:space="preserve"> 2.0 </w:t>
      </w:r>
    </w:p>
    <w:p w14:paraId="4A574A85" w14:textId="66EA5800" w:rsidR="00923F27" w:rsidRPr="00182A40" w:rsidRDefault="00923F27" w:rsidP="00923F27">
      <w:pPr>
        <w:pStyle w:val="ListParagraph"/>
        <w:numPr>
          <w:ilvl w:val="0"/>
          <w:numId w:val="41"/>
        </w:numPr>
        <w:spacing w:line="360" w:lineRule="atLeast"/>
        <w:rPr>
          <w:b/>
          <w:sz w:val="32"/>
          <w:szCs w:val="32"/>
          <w:lang w:val="fr-FR"/>
        </w:rPr>
      </w:pPr>
      <w:r w:rsidRPr="00182A40">
        <w:rPr>
          <w:b/>
          <w:sz w:val="32"/>
          <w:szCs w:val="32"/>
          <w:lang w:val="fr-FR"/>
        </w:rPr>
        <w:t>ISO/IEC PRF 5230</w:t>
      </w:r>
    </w:p>
    <w:p w14:paraId="424CD495" w14:textId="7D70F22D" w:rsidR="001A33D0" w:rsidRPr="00182A40" w:rsidRDefault="001A33D0" w:rsidP="001A33D0">
      <w:pPr>
        <w:rPr>
          <w:lang w:val="fr-FR"/>
        </w:rPr>
      </w:pPr>
    </w:p>
    <w:p w14:paraId="7107AE18" w14:textId="65EC7337" w:rsidR="00923F27" w:rsidRPr="00182A40" w:rsidRDefault="00923F27" w:rsidP="001A33D0">
      <w:pPr>
        <w:rPr>
          <w:lang w:val="fr-FR"/>
        </w:rPr>
      </w:pPr>
      <w:r w:rsidRPr="00182A40">
        <w:rPr>
          <w:lang w:val="fr-FR"/>
        </w:rPr>
        <w:t xml:space="preserve">Pour en savoir plus : </w:t>
      </w:r>
      <w:r w:rsidR="00BB1C24">
        <w:fldChar w:fldCharType="begin"/>
      </w:r>
      <w:r w:rsidR="00BB1C24" w:rsidRPr="002B01BD">
        <w:rPr>
          <w:lang w:val="fr-FR"/>
        </w:rPr>
        <w:instrText xml:space="preserve"> HYPERLINK "https://www.openchainproject.org/" </w:instrText>
      </w:r>
      <w:r w:rsidR="00BB1C24">
        <w:fldChar w:fldCharType="separate"/>
      </w:r>
      <w:r w:rsidRPr="00CC75E3">
        <w:rPr>
          <w:rStyle w:val="Hyperlink"/>
        </w:rPr>
        <w:t>www.openchainproject.org</w:t>
      </w:r>
      <w:r w:rsidR="00BB1C24">
        <w:rPr>
          <w:rStyle w:val="Hyperlink"/>
        </w:rPr>
        <w:fldChar w:fldCharType="end"/>
      </w:r>
    </w:p>
    <w:p w14:paraId="19A20630" w14:textId="77777777" w:rsidR="001A33D0" w:rsidRPr="00CC75E3" w:rsidRDefault="001A33D0" w:rsidP="001A33D0">
      <w:pPr>
        <w:pStyle w:val="zzContents"/>
        <w:spacing w:before="0"/>
        <w:rPr>
          <w:lang w:val="en-US" w:eastAsia="ja-JP"/>
        </w:rPr>
      </w:pPr>
      <w:r w:rsidRPr="00182A40">
        <w:rPr>
          <w:lang w:val="fr-FR"/>
        </w:rPr>
        <w:lastRenderedPageBreak/>
        <w:t>Table des matières</w:t>
      </w:r>
    </w:p>
    <w:p w14:paraId="48B572C9" w14:textId="008D665A" w:rsidR="00923F27" w:rsidRPr="00182A40" w:rsidRDefault="0054733A">
      <w:pPr>
        <w:pStyle w:val="TOC1"/>
        <w:rPr>
          <w:rFonts w:asciiTheme="minorHAnsi" w:eastAsiaTheme="minorEastAsia" w:hAnsiTheme="minorHAnsi" w:cstheme="minorBidi"/>
          <w:b w:val="0"/>
          <w:noProof/>
          <w:sz w:val="24"/>
          <w:szCs w:val="24"/>
          <w:lang w:val="fr-FR" w:eastAsia="ja-JP"/>
        </w:rPr>
      </w:pPr>
      <w:r w:rsidRPr="00182A40">
        <w:rPr>
          <w:lang w:val="fr-FR"/>
        </w:rPr>
        <w:fldChar w:fldCharType="begin"/>
      </w:r>
      <w:r w:rsidRPr="00182A40">
        <w:rPr>
          <w:lang w:val="fr-FR"/>
        </w:rPr>
        <w:instrText xml:space="preserve"> TOC \o "</w:instrText>
      </w:r>
      <w:r w:rsidR="002C453D" w:rsidRPr="00182A40">
        <w:rPr>
          <w:lang w:val="fr-FR"/>
        </w:rPr>
        <w:instrText>1</w:instrText>
      </w:r>
      <w:r w:rsidRPr="00182A40">
        <w:rPr>
          <w:lang w:val="fr-FR"/>
        </w:rPr>
        <w:instrText xml:space="preserve">-3" \h \z \t "Heading 1;1;ANNEX;1;Biblio Title;1;Foreword Title;1;Intro Title;1" </w:instrText>
      </w:r>
      <w:r w:rsidRPr="00182A40">
        <w:rPr>
          <w:lang w:val="fr-FR"/>
        </w:rPr>
        <w:fldChar w:fldCharType="separate"/>
      </w:r>
      <w:hyperlink w:anchor="_Toc57210364" w:history="1">
        <w:r w:rsidR="00923F27" w:rsidRPr="00182A40">
          <w:rPr>
            <w:rStyle w:val="Hyperlink"/>
            <w:noProof/>
          </w:rPr>
          <w:t>Introduction</w:t>
        </w:r>
        <w:r w:rsidR="00923F27" w:rsidRPr="00182A40">
          <w:rPr>
            <w:noProof/>
            <w:webHidden/>
            <w:lang w:val="fr-FR"/>
          </w:rPr>
          <w:tab/>
        </w:r>
        <w:r w:rsidR="00923F27" w:rsidRPr="00182A40">
          <w:rPr>
            <w:noProof/>
            <w:webHidden/>
            <w:lang w:val="fr-FR"/>
          </w:rPr>
          <w:fldChar w:fldCharType="begin"/>
        </w:r>
        <w:r w:rsidR="00923F27" w:rsidRPr="00182A40">
          <w:rPr>
            <w:noProof/>
            <w:webHidden/>
            <w:lang w:val="fr-FR"/>
          </w:rPr>
          <w:instrText xml:space="preserve"> PAGEREF _Toc57210364 \h </w:instrText>
        </w:r>
        <w:r w:rsidR="00923F27" w:rsidRPr="00182A40">
          <w:rPr>
            <w:noProof/>
            <w:webHidden/>
            <w:lang w:val="fr-FR"/>
          </w:rPr>
        </w:r>
        <w:r w:rsidR="00923F27" w:rsidRPr="00182A40">
          <w:rPr>
            <w:noProof/>
            <w:webHidden/>
            <w:lang w:val="fr-FR"/>
          </w:rPr>
          <w:fldChar w:fldCharType="separate"/>
        </w:r>
        <w:r w:rsidR="00923F27" w:rsidRPr="00182A40">
          <w:rPr>
            <w:noProof/>
            <w:webHidden/>
            <w:lang w:val="fr-FR"/>
          </w:rPr>
          <w:t>iii</w:t>
        </w:r>
        <w:r w:rsidR="00923F27" w:rsidRPr="00182A40">
          <w:rPr>
            <w:noProof/>
            <w:webHidden/>
            <w:lang w:val="fr-FR"/>
          </w:rPr>
          <w:fldChar w:fldCharType="end"/>
        </w:r>
      </w:hyperlink>
    </w:p>
    <w:p w14:paraId="7401610F" w14:textId="0938C060" w:rsidR="00923F27" w:rsidRPr="00182A40" w:rsidRDefault="00BB1C24">
      <w:pPr>
        <w:pStyle w:val="TOC1"/>
        <w:rPr>
          <w:rFonts w:asciiTheme="minorHAnsi" w:eastAsiaTheme="minorEastAsia" w:hAnsiTheme="minorHAnsi" w:cstheme="minorBidi"/>
          <w:b w:val="0"/>
          <w:noProof/>
          <w:sz w:val="24"/>
          <w:szCs w:val="24"/>
          <w:lang w:val="fr-FR" w:eastAsia="ja-JP"/>
        </w:rPr>
      </w:pPr>
      <w:hyperlink w:anchor="_Toc57210365" w:history="1">
        <w:r w:rsidR="00923F27" w:rsidRPr="00182A40">
          <w:rPr>
            <w:rStyle w:val="Hyperlink"/>
            <w:noProof/>
          </w:rPr>
          <w:t>1</w:t>
        </w:r>
        <w:r w:rsidR="00923F27" w:rsidRPr="00182A40">
          <w:rPr>
            <w:rFonts w:asciiTheme="minorHAnsi" w:eastAsiaTheme="minorEastAsia" w:hAnsiTheme="minorHAnsi" w:cstheme="minorBidi"/>
            <w:b w:val="0"/>
            <w:noProof/>
            <w:sz w:val="24"/>
            <w:szCs w:val="24"/>
            <w:lang w:val="fr-FR" w:eastAsia="ja-JP"/>
          </w:rPr>
          <w:tab/>
        </w:r>
        <w:r w:rsidR="00923F27" w:rsidRPr="00182A40">
          <w:rPr>
            <w:rStyle w:val="Hyperlink"/>
            <w:noProof/>
          </w:rPr>
          <w:t>Champ d’application</w:t>
        </w:r>
        <w:r w:rsidR="00923F27" w:rsidRPr="00182A40">
          <w:rPr>
            <w:noProof/>
            <w:webHidden/>
            <w:lang w:val="fr-FR"/>
          </w:rPr>
          <w:tab/>
        </w:r>
        <w:r w:rsidR="00923F27" w:rsidRPr="00182A40">
          <w:rPr>
            <w:noProof/>
            <w:webHidden/>
            <w:lang w:val="fr-FR"/>
          </w:rPr>
          <w:fldChar w:fldCharType="begin"/>
        </w:r>
        <w:r w:rsidR="00923F27" w:rsidRPr="00182A40">
          <w:rPr>
            <w:noProof/>
            <w:webHidden/>
            <w:lang w:val="fr-FR"/>
          </w:rPr>
          <w:instrText xml:space="preserve"> PAGEREF _Toc57210365 \h </w:instrText>
        </w:r>
        <w:r w:rsidR="00923F27" w:rsidRPr="00182A40">
          <w:rPr>
            <w:noProof/>
            <w:webHidden/>
            <w:lang w:val="fr-FR"/>
          </w:rPr>
        </w:r>
        <w:r w:rsidR="00923F27" w:rsidRPr="00182A40">
          <w:rPr>
            <w:noProof/>
            <w:webHidden/>
            <w:lang w:val="fr-FR"/>
          </w:rPr>
          <w:fldChar w:fldCharType="separate"/>
        </w:r>
        <w:r w:rsidR="00923F27" w:rsidRPr="00182A40">
          <w:rPr>
            <w:noProof/>
            <w:webHidden/>
            <w:lang w:val="fr-FR"/>
          </w:rPr>
          <w:t>1</w:t>
        </w:r>
        <w:r w:rsidR="00923F27" w:rsidRPr="00182A40">
          <w:rPr>
            <w:noProof/>
            <w:webHidden/>
            <w:lang w:val="fr-FR"/>
          </w:rPr>
          <w:fldChar w:fldCharType="end"/>
        </w:r>
      </w:hyperlink>
    </w:p>
    <w:p w14:paraId="73F566B2" w14:textId="1EE5435D" w:rsidR="00923F27" w:rsidRPr="00182A40" w:rsidRDefault="00BB1C24">
      <w:pPr>
        <w:pStyle w:val="TOC1"/>
        <w:rPr>
          <w:rFonts w:asciiTheme="minorHAnsi" w:eastAsiaTheme="minorEastAsia" w:hAnsiTheme="minorHAnsi" w:cstheme="minorBidi"/>
          <w:b w:val="0"/>
          <w:noProof/>
          <w:sz w:val="24"/>
          <w:szCs w:val="24"/>
          <w:lang w:val="fr-FR" w:eastAsia="ja-JP"/>
        </w:rPr>
      </w:pPr>
      <w:hyperlink w:anchor="_Toc57210366" w:history="1">
        <w:r w:rsidR="00923F27" w:rsidRPr="00182A40">
          <w:rPr>
            <w:rStyle w:val="Hyperlink"/>
            <w:noProof/>
          </w:rPr>
          <w:t>2</w:t>
        </w:r>
        <w:r w:rsidR="00923F27" w:rsidRPr="00182A40">
          <w:rPr>
            <w:rFonts w:asciiTheme="minorHAnsi" w:eastAsiaTheme="minorEastAsia" w:hAnsiTheme="minorHAnsi" w:cstheme="minorBidi"/>
            <w:b w:val="0"/>
            <w:noProof/>
            <w:sz w:val="24"/>
            <w:szCs w:val="24"/>
            <w:lang w:val="fr-FR" w:eastAsia="ja-JP"/>
          </w:rPr>
          <w:tab/>
        </w:r>
        <w:r w:rsidR="00923F27" w:rsidRPr="00182A40">
          <w:rPr>
            <w:rStyle w:val="Hyperlink"/>
            <w:noProof/>
          </w:rPr>
          <w:t>Termes et définitions</w:t>
        </w:r>
        <w:r w:rsidR="00923F27" w:rsidRPr="00182A40">
          <w:rPr>
            <w:noProof/>
            <w:webHidden/>
            <w:lang w:val="fr-FR"/>
          </w:rPr>
          <w:tab/>
        </w:r>
        <w:r w:rsidR="00923F27" w:rsidRPr="00182A40">
          <w:rPr>
            <w:noProof/>
            <w:webHidden/>
            <w:lang w:val="fr-FR"/>
          </w:rPr>
          <w:fldChar w:fldCharType="begin"/>
        </w:r>
        <w:r w:rsidR="00923F27" w:rsidRPr="00182A40">
          <w:rPr>
            <w:noProof/>
            <w:webHidden/>
            <w:lang w:val="fr-FR"/>
          </w:rPr>
          <w:instrText xml:space="preserve"> PAGEREF _Toc57210366 \h </w:instrText>
        </w:r>
        <w:r w:rsidR="00923F27" w:rsidRPr="00182A40">
          <w:rPr>
            <w:noProof/>
            <w:webHidden/>
            <w:lang w:val="fr-FR"/>
          </w:rPr>
        </w:r>
        <w:r w:rsidR="00923F27" w:rsidRPr="00182A40">
          <w:rPr>
            <w:noProof/>
            <w:webHidden/>
            <w:lang w:val="fr-FR"/>
          </w:rPr>
          <w:fldChar w:fldCharType="separate"/>
        </w:r>
        <w:r w:rsidR="00923F27" w:rsidRPr="00182A40">
          <w:rPr>
            <w:noProof/>
            <w:webHidden/>
            <w:lang w:val="fr-FR"/>
          </w:rPr>
          <w:t>1</w:t>
        </w:r>
        <w:r w:rsidR="00923F27" w:rsidRPr="00182A40">
          <w:rPr>
            <w:noProof/>
            <w:webHidden/>
            <w:lang w:val="fr-FR"/>
          </w:rPr>
          <w:fldChar w:fldCharType="end"/>
        </w:r>
      </w:hyperlink>
    </w:p>
    <w:p w14:paraId="2871AA62" w14:textId="3227F758" w:rsidR="00923F27" w:rsidRPr="00182A40" w:rsidRDefault="00BB1C24">
      <w:pPr>
        <w:pStyle w:val="TOC1"/>
        <w:rPr>
          <w:rFonts w:asciiTheme="minorHAnsi" w:eastAsiaTheme="minorEastAsia" w:hAnsiTheme="minorHAnsi" w:cstheme="minorBidi"/>
          <w:b w:val="0"/>
          <w:noProof/>
          <w:sz w:val="24"/>
          <w:szCs w:val="24"/>
          <w:lang w:val="fr-FR" w:eastAsia="ja-JP"/>
        </w:rPr>
      </w:pPr>
      <w:hyperlink w:anchor="_Toc57210367" w:history="1">
        <w:r w:rsidR="00923F27" w:rsidRPr="00182A40">
          <w:rPr>
            <w:rStyle w:val="Hyperlink"/>
            <w:noProof/>
          </w:rPr>
          <w:t>3</w:t>
        </w:r>
        <w:r w:rsidR="00923F27" w:rsidRPr="00182A40">
          <w:rPr>
            <w:rFonts w:asciiTheme="minorHAnsi" w:eastAsiaTheme="minorEastAsia" w:hAnsiTheme="minorHAnsi" w:cstheme="minorBidi"/>
            <w:b w:val="0"/>
            <w:noProof/>
            <w:sz w:val="24"/>
            <w:szCs w:val="24"/>
            <w:lang w:val="fr-FR" w:eastAsia="ja-JP"/>
          </w:rPr>
          <w:tab/>
        </w:r>
        <w:r w:rsidR="00923F27" w:rsidRPr="00182A40">
          <w:rPr>
            <w:rStyle w:val="Hyperlink"/>
            <w:noProof/>
          </w:rPr>
          <w:t>Exigences</w:t>
        </w:r>
        <w:r w:rsidR="00923F27" w:rsidRPr="00182A40">
          <w:rPr>
            <w:noProof/>
            <w:webHidden/>
            <w:lang w:val="fr-FR"/>
          </w:rPr>
          <w:tab/>
        </w:r>
        <w:r w:rsidR="00923F27" w:rsidRPr="00182A40">
          <w:rPr>
            <w:noProof/>
            <w:webHidden/>
            <w:lang w:val="fr-FR"/>
          </w:rPr>
          <w:fldChar w:fldCharType="begin"/>
        </w:r>
        <w:r w:rsidR="00923F27" w:rsidRPr="00182A40">
          <w:rPr>
            <w:noProof/>
            <w:webHidden/>
            <w:lang w:val="fr-FR"/>
          </w:rPr>
          <w:instrText xml:space="preserve"> PAGEREF _Toc57210367 \h </w:instrText>
        </w:r>
        <w:r w:rsidR="00923F27" w:rsidRPr="00182A40">
          <w:rPr>
            <w:noProof/>
            <w:webHidden/>
            <w:lang w:val="fr-FR"/>
          </w:rPr>
        </w:r>
        <w:r w:rsidR="00923F27" w:rsidRPr="00182A40">
          <w:rPr>
            <w:noProof/>
            <w:webHidden/>
            <w:lang w:val="fr-FR"/>
          </w:rPr>
          <w:fldChar w:fldCharType="separate"/>
        </w:r>
        <w:r w:rsidR="00923F27" w:rsidRPr="00182A40">
          <w:rPr>
            <w:noProof/>
            <w:webHidden/>
            <w:lang w:val="fr-FR"/>
          </w:rPr>
          <w:t>2</w:t>
        </w:r>
        <w:r w:rsidR="00923F27" w:rsidRPr="00182A40">
          <w:rPr>
            <w:noProof/>
            <w:webHidden/>
            <w:lang w:val="fr-FR"/>
          </w:rPr>
          <w:fldChar w:fldCharType="end"/>
        </w:r>
      </w:hyperlink>
    </w:p>
    <w:p w14:paraId="2BA244D9" w14:textId="07801FD7" w:rsidR="00923F27" w:rsidRPr="00182A40" w:rsidRDefault="00BB1C24">
      <w:pPr>
        <w:pStyle w:val="TOC2"/>
        <w:rPr>
          <w:rFonts w:asciiTheme="minorHAnsi" w:eastAsiaTheme="minorEastAsia" w:hAnsiTheme="minorHAnsi" w:cstheme="minorBidi"/>
          <w:b w:val="0"/>
          <w:noProof/>
          <w:sz w:val="24"/>
          <w:szCs w:val="24"/>
          <w:lang w:val="fr-FR" w:eastAsia="ja-JP"/>
        </w:rPr>
      </w:pPr>
      <w:hyperlink w:anchor="_Toc57210368" w:history="1">
        <w:r w:rsidR="00923F27" w:rsidRPr="00182A40">
          <w:rPr>
            <w:rStyle w:val="Hyperlink"/>
            <w:noProof/>
          </w:rPr>
          <w:t>3.1</w:t>
        </w:r>
        <w:r w:rsidR="00923F27" w:rsidRPr="00182A40">
          <w:rPr>
            <w:rFonts w:asciiTheme="minorHAnsi" w:eastAsiaTheme="minorEastAsia" w:hAnsiTheme="minorHAnsi" w:cstheme="minorBidi"/>
            <w:b w:val="0"/>
            <w:noProof/>
            <w:sz w:val="24"/>
            <w:szCs w:val="24"/>
            <w:lang w:val="fr-FR" w:eastAsia="ja-JP"/>
          </w:rPr>
          <w:tab/>
        </w:r>
        <w:r w:rsidR="00923F27" w:rsidRPr="00182A40">
          <w:rPr>
            <w:rStyle w:val="Hyperlink"/>
            <w:noProof/>
          </w:rPr>
          <w:t>Fondamentaux du programme</w:t>
        </w:r>
        <w:r w:rsidR="00923F27" w:rsidRPr="00182A40">
          <w:rPr>
            <w:noProof/>
            <w:webHidden/>
            <w:lang w:val="fr-FR"/>
          </w:rPr>
          <w:tab/>
        </w:r>
        <w:r w:rsidR="00923F27" w:rsidRPr="00182A40">
          <w:rPr>
            <w:noProof/>
            <w:webHidden/>
            <w:lang w:val="fr-FR"/>
          </w:rPr>
          <w:fldChar w:fldCharType="begin"/>
        </w:r>
        <w:r w:rsidR="00923F27" w:rsidRPr="00182A40">
          <w:rPr>
            <w:noProof/>
            <w:webHidden/>
            <w:lang w:val="fr-FR"/>
          </w:rPr>
          <w:instrText xml:space="preserve"> PAGEREF _Toc57210368 \h </w:instrText>
        </w:r>
        <w:r w:rsidR="00923F27" w:rsidRPr="00182A40">
          <w:rPr>
            <w:noProof/>
            <w:webHidden/>
            <w:lang w:val="fr-FR"/>
          </w:rPr>
        </w:r>
        <w:r w:rsidR="00923F27" w:rsidRPr="00182A40">
          <w:rPr>
            <w:noProof/>
            <w:webHidden/>
            <w:lang w:val="fr-FR"/>
          </w:rPr>
          <w:fldChar w:fldCharType="separate"/>
        </w:r>
        <w:r w:rsidR="00923F27" w:rsidRPr="00182A40">
          <w:rPr>
            <w:noProof/>
            <w:webHidden/>
            <w:lang w:val="fr-FR"/>
          </w:rPr>
          <w:t>2</w:t>
        </w:r>
        <w:r w:rsidR="00923F27" w:rsidRPr="00182A40">
          <w:rPr>
            <w:noProof/>
            <w:webHidden/>
            <w:lang w:val="fr-FR"/>
          </w:rPr>
          <w:fldChar w:fldCharType="end"/>
        </w:r>
      </w:hyperlink>
    </w:p>
    <w:p w14:paraId="0B380B1B" w14:textId="12C54D3D" w:rsidR="00923F27" w:rsidRPr="00182A40" w:rsidRDefault="00BB1C24">
      <w:pPr>
        <w:pStyle w:val="TOC3"/>
        <w:rPr>
          <w:rFonts w:asciiTheme="minorHAnsi" w:eastAsiaTheme="minorEastAsia" w:hAnsiTheme="minorHAnsi" w:cstheme="minorBidi"/>
          <w:b w:val="0"/>
          <w:noProof/>
          <w:sz w:val="24"/>
          <w:szCs w:val="24"/>
          <w:lang w:val="fr-FR" w:eastAsia="ja-JP"/>
        </w:rPr>
      </w:pPr>
      <w:hyperlink w:anchor="_Toc57210369" w:history="1">
        <w:r w:rsidR="00923F27" w:rsidRPr="00182A40">
          <w:rPr>
            <w:rStyle w:val="Hyperlink"/>
            <w:noProof/>
          </w:rPr>
          <w:t>3.1.1</w:t>
        </w:r>
        <w:r w:rsidR="00923F27" w:rsidRPr="00182A40">
          <w:rPr>
            <w:rFonts w:asciiTheme="minorHAnsi" w:eastAsiaTheme="minorEastAsia" w:hAnsiTheme="minorHAnsi" w:cstheme="minorBidi"/>
            <w:b w:val="0"/>
            <w:noProof/>
            <w:sz w:val="24"/>
            <w:szCs w:val="24"/>
            <w:lang w:val="fr-FR" w:eastAsia="ja-JP"/>
          </w:rPr>
          <w:tab/>
        </w:r>
        <w:r w:rsidR="00923F27" w:rsidRPr="00182A40">
          <w:rPr>
            <w:rStyle w:val="Hyperlink"/>
            <w:noProof/>
          </w:rPr>
          <w:t>Politique open source</w:t>
        </w:r>
        <w:r w:rsidR="00923F27" w:rsidRPr="00182A40">
          <w:rPr>
            <w:noProof/>
            <w:webHidden/>
            <w:lang w:val="fr-FR"/>
          </w:rPr>
          <w:tab/>
        </w:r>
        <w:r w:rsidR="00923F27" w:rsidRPr="00182A40">
          <w:rPr>
            <w:noProof/>
            <w:webHidden/>
            <w:lang w:val="fr-FR"/>
          </w:rPr>
          <w:fldChar w:fldCharType="begin"/>
        </w:r>
        <w:r w:rsidR="00923F27" w:rsidRPr="00182A40">
          <w:rPr>
            <w:noProof/>
            <w:webHidden/>
            <w:lang w:val="fr-FR"/>
          </w:rPr>
          <w:instrText xml:space="preserve"> PAGEREF _Toc57210369 \h </w:instrText>
        </w:r>
        <w:r w:rsidR="00923F27" w:rsidRPr="00182A40">
          <w:rPr>
            <w:noProof/>
            <w:webHidden/>
            <w:lang w:val="fr-FR"/>
          </w:rPr>
        </w:r>
        <w:r w:rsidR="00923F27" w:rsidRPr="00182A40">
          <w:rPr>
            <w:noProof/>
            <w:webHidden/>
            <w:lang w:val="fr-FR"/>
          </w:rPr>
          <w:fldChar w:fldCharType="separate"/>
        </w:r>
        <w:r w:rsidR="00923F27" w:rsidRPr="00182A40">
          <w:rPr>
            <w:noProof/>
            <w:webHidden/>
            <w:lang w:val="fr-FR"/>
          </w:rPr>
          <w:t>2</w:t>
        </w:r>
        <w:r w:rsidR="00923F27" w:rsidRPr="00182A40">
          <w:rPr>
            <w:noProof/>
            <w:webHidden/>
            <w:lang w:val="fr-FR"/>
          </w:rPr>
          <w:fldChar w:fldCharType="end"/>
        </w:r>
      </w:hyperlink>
    </w:p>
    <w:p w14:paraId="000ECF39" w14:textId="48739242" w:rsidR="00923F27" w:rsidRPr="00182A40" w:rsidRDefault="00BB1C24">
      <w:pPr>
        <w:pStyle w:val="TOC3"/>
        <w:rPr>
          <w:rFonts w:asciiTheme="minorHAnsi" w:eastAsiaTheme="minorEastAsia" w:hAnsiTheme="minorHAnsi" w:cstheme="minorBidi"/>
          <w:b w:val="0"/>
          <w:noProof/>
          <w:sz w:val="24"/>
          <w:szCs w:val="24"/>
          <w:lang w:val="fr-FR" w:eastAsia="ja-JP"/>
        </w:rPr>
      </w:pPr>
      <w:hyperlink w:anchor="_Toc57210370" w:history="1">
        <w:r w:rsidR="00923F27" w:rsidRPr="00182A40">
          <w:rPr>
            <w:rStyle w:val="Hyperlink"/>
            <w:noProof/>
          </w:rPr>
          <w:t>3.1.2</w:t>
        </w:r>
        <w:r w:rsidR="00923F27" w:rsidRPr="00182A40">
          <w:rPr>
            <w:rFonts w:asciiTheme="minorHAnsi" w:eastAsiaTheme="minorEastAsia" w:hAnsiTheme="minorHAnsi" w:cstheme="minorBidi"/>
            <w:b w:val="0"/>
            <w:noProof/>
            <w:sz w:val="24"/>
            <w:szCs w:val="24"/>
            <w:lang w:val="fr-FR" w:eastAsia="ja-JP"/>
          </w:rPr>
          <w:tab/>
        </w:r>
        <w:r w:rsidR="00923F27" w:rsidRPr="00182A40">
          <w:rPr>
            <w:rStyle w:val="Hyperlink"/>
            <w:noProof/>
          </w:rPr>
          <w:t>Compétences</w:t>
        </w:r>
        <w:r w:rsidR="00923F27" w:rsidRPr="00182A40">
          <w:rPr>
            <w:noProof/>
            <w:webHidden/>
            <w:lang w:val="fr-FR"/>
          </w:rPr>
          <w:tab/>
        </w:r>
        <w:r w:rsidR="00923F27" w:rsidRPr="00182A40">
          <w:rPr>
            <w:noProof/>
            <w:webHidden/>
            <w:lang w:val="fr-FR"/>
          </w:rPr>
          <w:fldChar w:fldCharType="begin"/>
        </w:r>
        <w:r w:rsidR="00923F27" w:rsidRPr="00182A40">
          <w:rPr>
            <w:noProof/>
            <w:webHidden/>
            <w:lang w:val="fr-FR"/>
          </w:rPr>
          <w:instrText xml:space="preserve"> PAGEREF _Toc57210370 \h </w:instrText>
        </w:r>
        <w:r w:rsidR="00923F27" w:rsidRPr="00182A40">
          <w:rPr>
            <w:noProof/>
            <w:webHidden/>
            <w:lang w:val="fr-FR"/>
          </w:rPr>
        </w:r>
        <w:r w:rsidR="00923F27" w:rsidRPr="00182A40">
          <w:rPr>
            <w:noProof/>
            <w:webHidden/>
            <w:lang w:val="fr-FR"/>
          </w:rPr>
          <w:fldChar w:fldCharType="separate"/>
        </w:r>
        <w:r w:rsidR="00923F27" w:rsidRPr="00182A40">
          <w:rPr>
            <w:noProof/>
            <w:webHidden/>
            <w:lang w:val="fr-FR"/>
          </w:rPr>
          <w:t>2</w:t>
        </w:r>
        <w:r w:rsidR="00923F27" w:rsidRPr="00182A40">
          <w:rPr>
            <w:noProof/>
            <w:webHidden/>
            <w:lang w:val="fr-FR"/>
          </w:rPr>
          <w:fldChar w:fldCharType="end"/>
        </w:r>
      </w:hyperlink>
    </w:p>
    <w:p w14:paraId="53306AF6" w14:textId="2219E9D0" w:rsidR="00923F27" w:rsidRPr="00182A40" w:rsidRDefault="00BB1C24">
      <w:pPr>
        <w:pStyle w:val="TOC3"/>
        <w:rPr>
          <w:rFonts w:asciiTheme="minorHAnsi" w:eastAsiaTheme="minorEastAsia" w:hAnsiTheme="minorHAnsi" w:cstheme="minorBidi"/>
          <w:b w:val="0"/>
          <w:noProof/>
          <w:sz w:val="24"/>
          <w:szCs w:val="24"/>
          <w:lang w:val="fr-FR" w:eastAsia="ja-JP"/>
        </w:rPr>
      </w:pPr>
      <w:hyperlink w:anchor="_Toc57210371" w:history="1">
        <w:r w:rsidR="00923F27" w:rsidRPr="00182A40">
          <w:rPr>
            <w:rStyle w:val="Hyperlink"/>
            <w:noProof/>
          </w:rPr>
          <w:t>3.1.3</w:t>
        </w:r>
        <w:r w:rsidR="00923F27" w:rsidRPr="00182A40">
          <w:rPr>
            <w:rFonts w:asciiTheme="minorHAnsi" w:eastAsiaTheme="minorEastAsia" w:hAnsiTheme="minorHAnsi" w:cstheme="minorBidi"/>
            <w:b w:val="0"/>
            <w:noProof/>
            <w:sz w:val="24"/>
            <w:szCs w:val="24"/>
            <w:lang w:val="fr-FR" w:eastAsia="ja-JP"/>
          </w:rPr>
          <w:tab/>
        </w:r>
        <w:r w:rsidR="00923F27" w:rsidRPr="00182A40">
          <w:rPr>
            <w:rStyle w:val="Hyperlink"/>
            <w:noProof/>
          </w:rPr>
          <w:t>Sensibilisation</w:t>
        </w:r>
        <w:r w:rsidR="00923F27" w:rsidRPr="00182A40">
          <w:rPr>
            <w:noProof/>
            <w:webHidden/>
            <w:lang w:val="fr-FR"/>
          </w:rPr>
          <w:tab/>
        </w:r>
        <w:r w:rsidR="00923F27" w:rsidRPr="00182A40">
          <w:rPr>
            <w:noProof/>
            <w:webHidden/>
            <w:lang w:val="fr-FR"/>
          </w:rPr>
          <w:fldChar w:fldCharType="begin"/>
        </w:r>
        <w:r w:rsidR="00923F27" w:rsidRPr="00182A40">
          <w:rPr>
            <w:noProof/>
            <w:webHidden/>
            <w:lang w:val="fr-FR"/>
          </w:rPr>
          <w:instrText xml:space="preserve"> PAGEREF _Toc57210371 \h </w:instrText>
        </w:r>
        <w:r w:rsidR="00923F27" w:rsidRPr="00182A40">
          <w:rPr>
            <w:noProof/>
            <w:webHidden/>
            <w:lang w:val="fr-FR"/>
          </w:rPr>
        </w:r>
        <w:r w:rsidR="00923F27" w:rsidRPr="00182A40">
          <w:rPr>
            <w:noProof/>
            <w:webHidden/>
            <w:lang w:val="fr-FR"/>
          </w:rPr>
          <w:fldChar w:fldCharType="separate"/>
        </w:r>
        <w:r w:rsidR="00923F27" w:rsidRPr="00182A40">
          <w:rPr>
            <w:noProof/>
            <w:webHidden/>
            <w:lang w:val="fr-FR"/>
          </w:rPr>
          <w:t>3</w:t>
        </w:r>
        <w:r w:rsidR="00923F27" w:rsidRPr="00182A40">
          <w:rPr>
            <w:noProof/>
            <w:webHidden/>
            <w:lang w:val="fr-FR"/>
          </w:rPr>
          <w:fldChar w:fldCharType="end"/>
        </w:r>
      </w:hyperlink>
    </w:p>
    <w:p w14:paraId="0384547C" w14:textId="47CBF43E" w:rsidR="00923F27" w:rsidRPr="00182A40" w:rsidRDefault="00BB1C24">
      <w:pPr>
        <w:pStyle w:val="TOC3"/>
        <w:rPr>
          <w:rFonts w:asciiTheme="minorHAnsi" w:eastAsiaTheme="minorEastAsia" w:hAnsiTheme="minorHAnsi" w:cstheme="minorBidi"/>
          <w:b w:val="0"/>
          <w:noProof/>
          <w:sz w:val="24"/>
          <w:szCs w:val="24"/>
          <w:lang w:val="fr-FR" w:eastAsia="ja-JP"/>
        </w:rPr>
      </w:pPr>
      <w:hyperlink w:anchor="_Toc57210372" w:history="1">
        <w:r w:rsidR="00923F27" w:rsidRPr="00182A40">
          <w:rPr>
            <w:rStyle w:val="Hyperlink"/>
            <w:noProof/>
          </w:rPr>
          <w:t>3.1.4</w:t>
        </w:r>
        <w:r w:rsidR="00923F27" w:rsidRPr="00182A40">
          <w:rPr>
            <w:rFonts w:asciiTheme="minorHAnsi" w:eastAsiaTheme="minorEastAsia" w:hAnsiTheme="minorHAnsi" w:cstheme="minorBidi"/>
            <w:b w:val="0"/>
            <w:noProof/>
            <w:sz w:val="24"/>
            <w:szCs w:val="24"/>
            <w:lang w:val="fr-FR" w:eastAsia="ja-JP"/>
          </w:rPr>
          <w:tab/>
        </w:r>
        <w:r w:rsidR="00923F27" w:rsidRPr="00182A40">
          <w:rPr>
            <w:rStyle w:val="Hyperlink"/>
            <w:noProof/>
          </w:rPr>
          <w:t>Périmètre du programme</w:t>
        </w:r>
        <w:r w:rsidR="00923F27" w:rsidRPr="00182A40">
          <w:rPr>
            <w:noProof/>
            <w:webHidden/>
            <w:lang w:val="fr-FR"/>
          </w:rPr>
          <w:tab/>
        </w:r>
        <w:r w:rsidR="00923F27" w:rsidRPr="00182A40">
          <w:rPr>
            <w:noProof/>
            <w:webHidden/>
            <w:lang w:val="fr-FR"/>
          </w:rPr>
          <w:fldChar w:fldCharType="begin"/>
        </w:r>
        <w:r w:rsidR="00923F27" w:rsidRPr="00182A40">
          <w:rPr>
            <w:noProof/>
            <w:webHidden/>
            <w:lang w:val="fr-FR"/>
          </w:rPr>
          <w:instrText xml:space="preserve"> PAGEREF _Toc57210372 \h </w:instrText>
        </w:r>
        <w:r w:rsidR="00923F27" w:rsidRPr="00182A40">
          <w:rPr>
            <w:noProof/>
            <w:webHidden/>
            <w:lang w:val="fr-FR"/>
          </w:rPr>
        </w:r>
        <w:r w:rsidR="00923F27" w:rsidRPr="00182A40">
          <w:rPr>
            <w:noProof/>
            <w:webHidden/>
            <w:lang w:val="fr-FR"/>
          </w:rPr>
          <w:fldChar w:fldCharType="separate"/>
        </w:r>
        <w:r w:rsidR="00923F27" w:rsidRPr="00182A40">
          <w:rPr>
            <w:noProof/>
            <w:webHidden/>
            <w:lang w:val="fr-FR"/>
          </w:rPr>
          <w:t>3</w:t>
        </w:r>
        <w:r w:rsidR="00923F27" w:rsidRPr="00182A40">
          <w:rPr>
            <w:noProof/>
            <w:webHidden/>
            <w:lang w:val="fr-FR"/>
          </w:rPr>
          <w:fldChar w:fldCharType="end"/>
        </w:r>
      </w:hyperlink>
    </w:p>
    <w:p w14:paraId="06A9D67E" w14:textId="3E2420F5" w:rsidR="00923F27" w:rsidRPr="00182A40" w:rsidRDefault="00BB1C24">
      <w:pPr>
        <w:pStyle w:val="TOC3"/>
        <w:rPr>
          <w:rFonts w:asciiTheme="minorHAnsi" w:eastAsiaTheme="minorEastAsia" w:hAnsiTheme="minorHAnsi" w:cstheme="minorBidi"/>
          <w:b w:val="0"/>
          <w:noProof/>
          <w:sz w:val="24"/>
          <w:szCs w:val="24"/>
          <w:lang w:val="fr-FR" w:eastAsia="ja-JP"/>
        </w:rPr>
      </w:pPr>
      <w:hyperlink w:anchor="_Toc57210373" w:history="1">
        <w:r w:rsidR="00923F27" w:rsidRPr="00182A40">
          <w:rPr>
            <w:rStyle w:val="Hyperlink"/>
            <w:noProof/>
          </w:rPr>
          <w:t>3.1.5</w:t>
        </w:r>
        <w:r w:rsidR="00923F27" w:rsidRPr="00182A40">
          <w:rPr>
            <w:rFonts w:asciiTheme="minorHAnsi" w:eastAsiaTheme="minorEastAsia" w:hAnsiTheme="minorHAnsi" w:cstheme="minorBidi"/>
            <w:b w:val="0"/>
            <w:noProof/>
            <w:sz w:val="24"/>
            <w:szCs w:val="24"/>
            <w:lang w:val="fr-FR" w:eastAsia="ja-JP"/>
          </w:rPr>
          <w:tab/>
        </w:r>
        <w:r w:rsidR="00923F27" w:rsidRPr="00182A40">
          <w:rPr>
            <w:rStyle w:val="Hyperlink"/>
            <w:noProof/>
          </w:rPr>
          <w:t>Obligations liées aux licences</w:t>
        </w:r>
        <w:r w:rsidR="00923F27" w:rsidRPr="00182A40">
          <w:rPr>
            <w:noProof/>
            <w:webHidden/>
            <w:lang w:val="fr-FR"/>
          </w:rPr>
          <w:tab/>
        </w:r>
        <w:r w:rsidR="00923F27" w:rsidRPr="00182A40">
          <w:rPr>
            <w:noProof/>
            <w:webHidden/>
            <w:lang w:val="fr-FR"/>
          </w:rPr>
          <w:fldChar w:fldCharType="begin"/>
        </w:r>
        <w:r w:rsidR="00923F27" w:rsidRPr="00182A40">
          <w:rPr>
            <w:noProof/>
            <w:webHidden/>
            <w:lang w:val="fr-FR"/>
          </w:rPr>
          <w:instrText xml:space="preserve"> PAGEREF _Toc57210373 \h </w:instrText>
        </w:r>
        <w:r w:rsidR="00923F27" w:rsidRPr="00182A40">
          <w:rPr>
            <w:noProof/>
            <w:webHidden/>
            <w:lang w:val="fr-FR"/>
          </w:rPr>
        </w:r>
        <w:r w:rsidR="00923F27" w:rsidRPr="00182A40">
          <w:rPr>
            <w:noProof/>
            <w:webHidden/>
            <w:lang w:val="fr-FR"/>
          </w:rPr>
          <w:fldChar w:fldCharType="separate"/>
        </w:r>
        <w:r w:rsidR="00923F27" w:rsidRPr="00182A40">
          <w:rPr>
            <w:noProof/>
            <w:webHidden/>
            <w:lang w:val="fr-FR"/>
          </w:rPr>
          <w:t>3</w:t>
        </w:r>
        <w:r w:rsidR="00923F27" w:rsidRPr="00182A40">
          <w:rPr>
            <w:noProof/>
            <w:webHidden/>
            <w:lang w:val="fr-FR"/>
          </w:rPr>
          <w:fldChar w:fldCharType="end"/>
        </w:r>
      </w:hyperlink>
    </w:p>
    <w:p w14:paraId="3C965127" w14:textId="68B6912E" w:rsidR="00923F27" w:rsidRPr="00182A40" w:rsidRDefault="00BB1C24">
      <w:pPr>
        <w:pStyle w:val="TOC2"/>
        <w:rPr>
          <w:rFonts w:asciiTheme="minorHAnsi" w:eastAsiaTheme="minorEastAsia" w:hAnsiTheme="minorHAnsi" w:cstheme="minorBidi"/>
          <w:b w:val="0"/>
          <w:noProof/>
          <w:sz w:val="24"/>
          <w:szCs w:val="24"/>
          <w:lang w:val="fr-FR" w:eastAsia="ja-JP"/>
        </w:rPr>
      </w:pPr>
      <w:hyperlink w:anchor="_Toc57210374" w:history="1">
        <w:r w:rsidR="00923F27" w:rsidRPr="00182A40">
          <w:rPr>
            <w:rStyle w:val="Hyperlink"/>
            <w:noProof/>
          </w:rPr>
          <w:t>3.2</w:t>
        </w:r>
        <w:r w:rsidR="00923F27" w:rsidRPr="00182A40">
          <w:rPr>
            <w:rFonts w:asciiTheme="minorHAnsi" w:eastAsiaTheme="minorEastAsia" w:hAnsiTheme="minorHAnsi" w:cstheme="minorBidi"/>
            <w:b w:val="0"/>
            <w:noProof/>
            <w:sz w:val="24"/>
            <w:szCs w:val="24"/>
            <w:lang w:val="fr-FR" w:eastAsia="ja-JP"/>
          </w:rPr>
          <w:tab/>
        </w:r>
        <w:r w:rsidR="00923F27" w:rsidRPr="00182A40">
          <w:rPr>
            <w:rStyle w:val="Hyperlink"/>
            <w:noProof/>
          </w:rPr>
          <w:t>Définition des tâches nécessaires et des ressources associées</w:t>
        </w:r>
        <w:r w:rsidR="00923F27" w:rsidRPr="00182A40">
          <w:rPr>
            <w:noProof/>
            <w:webHidden/>
            <w:lang w:val="fr-FR"/>
          </w:rPr>
          <w:tab/>
        </w:r>
        <w:r w:rsidR="00923F27" w:rsidRPr="00182A40">
          <w:rPr>
            <w:noProof/>
            <w:webHidden/>
            <w:lang w:val="fr-FR"/>
          </w:rPr>
          <w:fldChar w:fldCharType="begin"/>
        </w:r>
        <w:r w:rsidR="00923F27" w:rsidRPr="00182A40">
          <w:rPr>
            <w:noProof/>
            <w:webHidden/>
            <w:lang w:val="fr-FR"/>
          </w:rPr>
          <w:instrText xml:space="preserve"> PAGEREF _Toc57210374 \h </w:instrText>
        </w:r>
        <w:r w:rsidR="00923F27" w:rsidRPr="00182A40">
          <w:rPr>
            <w:noProof/>
            <w:webHidden/>
            <w:lang w:val="fr-FR"/>
          </w:rPr>
        </w:r>
        <w:r w:rsidR="00923F27" w:rsidRPr="00182A40">
          <w:rPr>
            <w:noProof/>
            <w:webHidden/>
            <w:lang w:val="fr-FR"/>
          </w:rPr>
          <w:fldChar w:fldCharType="separate"/>
        </w:r>
        <w:r w:rsidR="00923F27" w:rsidRPr="00182A40">
          <w:rPr>
            <w:noProof/>
            <w:webHidden/>
            <w:lang w:val="fr-FR"/>
          </w:rPr>
          <w:t>4</w:t>
        </w:r>
        <w:r w:rsidR="00923F27" w:rsidRPr="00182A40">
          <w:rPr>
            <w:noProof/>
            <w:webHidden/>
            <w:lang w:val="fr-FR"/>
          </w:rPr>
          <w:fldChar w:fldCharType="end"/>
        </w:r>
      </w:hyperlink>
    </w:p>
    <w:p w14:paraId="6DB4138A" w14:textId="054F5AAC" w:rsidR="00923F27" w:rsidRPr="00182A40" w:rsidRDefault="00BB1C24">
      <w:pPr>
        <w:pStyle w:val="TOC3"/>
        <w:rPr>
          <w:rFonts w:asciiTheme="minorHAnsi" w:eastAsiaTheme="minorEastAsia" w:hAnsiTheme="minorHAnsi" w:cstheme="minorBidi"/>
          <w:b w:val="0"/>
          <w:noProof/>
          <w:sz w:val="24"/>
          <w:szCs w:val="24"/>
          <w:lang w:val="fr-FR" w:eastAsia="ja-JP"/>
        </w:rPr>
      </w:pPr>
      <w:hyperlink w:anchor="_Toc57210375" w:history="1">
        <w:r w:rsidR="00923F27" w:rsidRPr="00182A40">
          <w:rPr>
            <w:rStyle w:val="Hyperlink"/>
            <w:noProof/>
          </w:rPr>
          <w:t>3.2.1</w:t>
        </w:r>
        <w:r w:rsidR="00923F27" w:rsidRPr="00182A40">
          <w:rPr>
            <w:rFonts w:asciiTheme="minorHAnsi" w:eastAsiaTheme="minorEastAsia" w:hAnsiTheme="minorHAnsi" w:cstheme="minorBidi"/>
            <w:b w:val="0"/>
            <w:noProof/>
            <w:sz w:val="24"/>
            <w:szCs w:val="24"/>
            <w:lang w:val="fr-FR" w:eastAsia="ja-JP"/>
          </w:rPr>
          <w:tab/>
        </w:r>
        <w:r w:rsidR="00923F27" w:rsidRPr="00182A40">
          <w:rPr>
            <w:rStyle w:val="Hyperlink"/>
            <w:noProof/>
          </w:rPr>
          <w:t>Visibilité externe</w:t>
        </w:r>
        <w:r w:rsidR="00923F27" w:rsidRPr="00182A40">
          <w:rPr>
            <w:noProof/>
            <w:webHidden/>
            <w:lang w:val="fr-FR"/>
          </w:rPr>
          <w:tab/>
        </w:r>
        <w:r w:rsidR="00923F27" w:rsidRPr="00182A40">
          <w:rPr>
            <w:noProof/>
            <w:webHidden/>
            <w:lang w:val="fr-FR"/>
          </w:rPr>
          <w:fldChar w:fldCharType="begin"/>
        </w:r>
        <w:r w:rsidR="00923F27" w:rsidRPr="00182A40">
          <w:rPr>
            <w:noProof/>
            <w:webHidden/>
            <w:lang w:val="fr-FR"/>
          </w:rPr>
          <w:instrText xml:space="preserve"> PAGEREF _Toc57210375 \h </w:instrText>
        </w:r>
        <w:r w:rsidR="00923F27" w:rsidRPr="00182A40">
          <w:rPr>
            <w:noProof/>
            <w:webHidden/>
            <w:lang w:val="fr-FR"/>
          </w:rPr>
        </w:r>
        <w:r w:rsidR="00923F27" w:rsidRPr="00182A40">
          <w:rPr>
            <w:noProof/>
            <w:webHidden/>
            <w:lang w:val="fr-FR"/>
          </w:rPr>
          <w:fldChar w:fldCharType="separate"/>
        </w:r>
        <w:r w:rsidR="00923F27" w:rsidRPr="00182A40">
          <w:rPr>
            <w:noProof/>
            <w:webHidden/>
            <w:lang w:val="fr-FR"/>
          </w:rPr>
          <w:t>4</w:t>
        </w:r>
        <w:r w:rsidR="00923F27" w:rsidRPr="00182A40">
          <w:rPr>
            <w:noProof/>
            <w:webHidden/>
            <w:lang w:val="fr-FR"/>
          </w:rPr>
          <w:fldChar w:fldCharType="end"/>
        </w:r>
      </w:hyperlink>
    </w:p>
    <w:p w14:paraId="305E9530" w14:textId="036318D7" w:rsidR="00923F27" w:rsidRPr="00182A40" w:rsidRDefault="00BB1C24">
      <w:pPr>
        <w:pStyle w:val="TOC3"/>
        <w:rPr>
          <w:rFonts w:asciiTheme="minorHAnsi" w:eastAsiaTheme="minorEastAsia" w:hAnsiTheme="minorHAnsi" w:cstheme="minorBidi"/>
          <w:b w:val="0"/>
          <w:noProof/>
          <w:sz w:val="24"/>
          <w:szCs w:val="24"/>
          <w:lang w:val="fr-FR" w:eastAsia="ja-JP"/>
        </w:rPr>
      </w:pPr>
      <w:hyperlink w:anchor="_Toc57210376" w:history="1">
        <w:r w:rsidR="00923F27" w:rsidRPr="00182A40">
          <w:rPr>
            <w:rStyle w:val="Hyperlink"/>
            <w:noProof/>
          </w:rPr>
          <w:t>3.2.2</w:t>
        </w:r>
        <w:r w:rsidR="00923F27" w:rsidRPr="00182A40">
          <w:rPr>
            <w:rFonts w:asciiTheme="minorHAnsi" w:eastAsiaTheme="minorEastAsia" w:hAnsiTheme="minorHAnsi" w:cstheme="minorBidi"/>
            <w:b w:val="0"/>
            <w:noProof/>
            <w:sz w:val="24"/>
            <w:szCs w:val="24"/>
            <w:lang w:val="fr-FR" w:eastAsia="ja-JP"/>
          </w:rPr>
          <w:tab/>
        </w:r>
        <w:r w:rsidR="00923F27" w:rsidRPr="00182A40">
          <w:rPr>
            <w:rStyle w:val="Hyperlink"/>
            <w:noProof/>
          </w:rPr>
          <w:t>Ressources adaptées</w:t>
        </w:r>
        <w:r w:rsidR="00923F27" w:rsidRPr="00182A40">
          <w:rPr>
            <w:noProof/>
            <w:webHidden/>
            <w:lang w:val="fr-FR"/>
          </w:rPr>
          <w:tab/>
        </w:r>
        <w:r w:rsidR="00923F27" w:rsidRPr="00182A40">
          <w:rPr>
            <w:noProof/>
            <w:webHidden/>
            <w:lang w:val="fr-FR"/>
          </w:rPr>
          <w:fldChar w:fldCharType="begin"/>
        </w:r>
        <w:r w:rsidR="00923F27" w:rsidRPr="00182A40">
          <w:rPr>
            <w:noProof/>
            <w:webHidden/>
            <w:lang w:val="fr-FR"/>
          </w:rPr>
          <w:instrText xml:space="preserve"> PAGEREF _Toc57210376 \h </w:instrText>
        </w:r>
        <w:r w:rsidR="00923F27" w:rsidRPr="00182A40">
          <w:rPr>
            <w:noProof/>
            <w:webHidden/>
            <w:lang w:val="fr-FR"/>
          </w:rPr>
        </w:r>
        <w:r w:rsidR="00923F27" w:rsidRPr="00182A40">
          <w:rPr>
            <w:noProof/>
            <w:webHidden/>
            <w:lang w:val="fr-FR"/>
          </w:rPr>
          <w:fldChar w:fldCharType="separate"/>
        </w:r>
        <w:r w:rsidR="00923F27" w:rsidRPr="00182A40">
          <w:rPr>
            <w:noProof/>
            <w:webHidden/>
            <w:lang w:val="fr-FR"/>
          </w:rPr>
          <w:t>4</w:t>
        </w:r>
        <w:r w:rsidR="00923F27" w:rsidRPr="00182A40">
          <w:rPr>
            <w:noProof/>
            <w:webHidden/>
            <w:lang w:val="fr-FR"/>
          </w:rPr>
          <w:fldChar w:fldCharType="end"/>
        </w:r>
      </w:hyperlink>
    </w:p>
    <w:p w14:paraId="378E1640" w14:textId="56060EE8" w:rsidR="00923F27" w:rsidRPr="00182A40" w:rsidRDefault="00BB1C24">
      <w:pPr>
        <w:pStyle w:val="TOC2"/>
        <w:rPr>
          <w:rFonts w:asciiTheme="minorHAnsi" w:eastAsiaTheme="minorEastAsia" w:hAnsiTheme="minorHAnsi" w:cstheme="minorBidi"/>
          <w:b w:val="0"/>
          <w:noProof/>
          <w:sz w:val="24"/>
          <w:szCs w:val="24"/>
          <w:lang w:val="fr-FR" w:eastAsia="ja-JP"/>
        </w:rPr>
      </w:pPr>
      <w:hyperlink w:anchor="_Toc57210377" w:history="1">
        <w:r w:rsidR="00923F27" w:rsidRPr="00182A40">
          <w:rPr>
            <w:rStyle w:val="Hyperlink"/>
            <w:noProof/>
          </w:rPr>
          <w:t>3.3</w:t>
        </w:r>
        <w:r w:rsidR="00923F27" w:rsidRPr="00182A40">
          <w:rPr>
            <w:rFonts w:asciiTheme="minorHAnsi" w:eastAsiaTheme="minorEastAsia" w:hAnsiTheme="minorHAnsi" w:cstheme="minorBidi"/>
            <w:b w:val="0"/>
            <w:noProof/>
            <w:sz w:val="24"/>
            <w:szCs w:val="24"/>
            <w:lang w:val="fr-FR" w:eastAsia="ja-JP"/>
          </w:rPr>
          <w:tab/>
        </w:r>
        <w:r w:rsidR="00923F27" w:rsidRPr="00182A40">
          <w:rPr>
            <w:rStyle w:val="Hyperlink"/>
            <w:noProof/>
          </w:rPr>
          <w:t>Examen et validation des contenus open source</w:t>
        </w:r>
        <w:r w:rsidR="00923F27" w:rsidRPr="00182A40">
          <w:rPr>
            <w:noProof/>
            <w:webHidden/>
            <w:lang w:val="fr-FR"/>
          </w:rPr>
          <w:tab/>
        </w:r>
        <w:r w:rsidR="00923F27" w:rsidRPr="00182A40">
          <w:rPr>
            <w:noProof/>
            <w:webHidden/>
            <w:lang w:val="fr-FR"/>
          </w:rPr>
          <w:fldChar w:fldCharType="begin"/>
        </w:r>
        <w:r w:rsidR="00923F27" w:rsidRPr="00182A40">
          <w:rPr>
            <w:noProof/>
            <w:webHidden/>
            <w:lang w:val="fr-FR"/>
          </w:rPr>
          <w:instrText xml:space="preserve"> PAGEREF _Toc57210377 \h </w:instrText>
        </w:r>
        <w:r w:rsidR="00923F27" w:rsidRPr="00182A40">
          <w:rPr>
            <w:noProof/>
            <w:webHidden/>
            <w:lang w:val="fr-FR"/>
          </w:rPr>
        </w:r>
        <w:r w:rsidR="00923F27" w:rsidRPr="00182A40">
          <w:rPr>
            <w:noProof/>
            <w:webHidden/>
            <w:lang w:val="fr-FR"/>
          </w:rPr>
          <w:fldChar w:fldCharType="separate"/>
        </w:r>
        <w:r w:rsidR="00923F27" w:rsidRPr="00182A40">
          <w:rPr>
            <w:noProof/>
            <w:webHidden/>
            <w:lang w:val="fr-FR"/>
          </w:rPr>
          <w:t>5</w:t>
        </w:r>
        <w:r w:rsidR="00923F27" w:rsidRPr="00182A40">
          <w:rPr>
            <w:noProof/>
            <w:webHidden/>
            <w:lang w:val="fr-FR"/>
          </w:rPr>
          <w:fldChar w:fldCharType="end"/>
        </w:r>
      </w:hyperlink>
    </w:p>
    <w:p w14:paraId="60F8577C" w14:textId="32C4D1C2" w:rsidR="00923F27" w:rsidRPr="00182A40" w:rsidRDefault="00BB1C24">
      <w:pPr>
        <w:pStyle w:val="TOC3"/>
        <w:rPr>
          <w:rFonts w:asciiTheme="minorHAnsi" w:eastAsiaTheme="minorEastAsia" w:hAnsiTheme="minorHAnsi" w:cstheme="minorBidi"/>
          <w:b w:val="0"/>
          <w:noProof/>
          <w:sz w:val="24"/>
          <w:szCs w:val="24"/>
          <w:lang w:val="fr-FR" w:eastAsia="ja-JP"/>
        </w:rPr>
      </w:pPr>
      <w:hyperlink w:anchor="_Toc57210378" w:history="1">
        <w:r w:rsidR="00923F27" w:rsidRPr="00182A40">
          <w:rPr>
            <w:rStyle w:val="Hyperlink"/>
            <w:noProof/>
          </w:rPr>
          <w:t>3.3.1</w:t>
        </w:r>
        <w:r w:rsidR="00923F27" w:rsidRPr="00182A40">
          <w:rPr>
            <w:rFonts w:asciiTheme="minorHAnsi" w:eastAsiaTheme="minorEastAsia" w:hAnsiTheme="minorHAnsi" w:cstheme="minorBidi"/>
            <w:b w:val="0"/>
            <w:noProof/>
            <w:sz w:val="24"/>
            <w:szCs w:val="24"/>
            <w:lang w:val="fr-FR" w:eastAsia="ja-JP"/>
          </w:rPr>
          <w:tab/>
        </w:r>
        <w:r w:rsidR="00923F27" w:rsidRPr="00182A40">
          <w:rPr>
            <w:rStyle w:val="Hyperlink"/>
            <w:noProof/>
          </w:rPr>
          <w:t>Liste des composants</w:t>
        </w:r>
        <w:r w:rsidR="00923F27" w:rsidRPr="00182A40">
          <w:rPr>
            <w:noProof/>
            <w:webHidden/>
            <w:lang w:val="fr-FR"/>
          </w:rPr>
          <w:tab/>
        </w:r>
        <w:r w:rsidR="00923F27" w:rsidRPr="00182A40">
          <w:rPr>
            <w:noProof/>
            <w:webHidden/>
            <w:lang w:val="fr-FR"/>
          </w:rPr>
          <w:fldChar w:fldCharType="begin"/>
        </w:r>
        <w:r w:rsidR="00923F27" w:rsidRPr="00182A40">
          <w:rPr>
            <w:noProof/>
            <w:webHidden/>
            <w:lang w:val="fr-FR"/>
          </w:rPr>
          <w:instrText xml:space="preserve"> PAGEREF _Toc57210378 \h </w:instrText>
        </w:r>
        <w:r w:rsidR="00923F27" w:rsidRPr="00182A40">
          <w:rPr>
            <w:noProof/>
            <w:webHidden/>
            <w:lang w:val="fr-FR"/>
          </w:rPr>
        </w:r>
        <w:r w:rsidR="00923F27" w:rsidRPr="00182A40">
          <w:rPr>
            <w:noProof/>
            <w:webHidden/>
            <w:lang w:val="fr-FR"/>
          </w:rPr>
          <w:fldChar w:fldCharType="separate"/>
        </w:r>
        <w:r w:rsidR="00923F27" w:rsidRPr="00182A40">
          <w:rPr>
            <w:noProof/>
            <w:webHidden/>
            <w:lang w:val="fr-FR"/>
          </w:rPr>
          <w:t>5</w:t>
        </w:r>
        <w:r w:rsidR="00923F27" w:rsidRPr="00182A40">
          <w:rPr>
            <w:noProof/>
            <w:webHidden/>
            <w:lang w:val="fr-FR"/>
          </w:rPr>
          <w:fldChar w:fldCharType="end"/>
        </w:r>
      </w:hyperlink>
    </w:p>
    <w:p w14:paraId="32411FC4" w14:textId="04D2AA12" w:rsidR="00923F27" w:rsidRPr="00182A40" w:rsidRDefault="00BB1C24">
      <w:pPr>
        <w:pStyle w:val="TOC3"/>
        <w:rPr>
          <w:rFonts w:asciiTheme="minorHAnsi" w:eastAsiaTheme="minorEastAsia" w:hAnsiTheme="minorHAnsi" w:cstheme="minorBidi"/>
          <w:b w:val="0"/>
          <w:noProof/>
          <w:sz w:val="24"/>
          <w:szCs w:val="24"/>
          <w:lang w:val="fr-FR" w:eastAsia="ja-JP"/>
        </w:rPr>
      </w:pPr>
      <w:hyperlink w:anchor="_Toc57210379" w:history="1">
        <w:r w:rsidR="00923F27" w:rsidRPr="00182A40">
          <w:rPr>
            <w:rStyle w:val="Hyperlink"/>
            <w:noProof/>
          </w:rPr>
          <w:t>3.3.2</w:t>
        </w:r>
        <w:r w:rsidR="00923F27" w:rsidRPr="00182A40">
          <w:rPr>
            <w:rFonts w:asciiTheme="minorHAnsi" w:eastAsiaTheme="minorEastAsia" w:hAnsiTheme="minorHAnsi" w:cstheme="minorBidi"/>
            <w:b w:val="0"/>
            <w:noProof/>
            <w:sz w:val="24"/>
            <w:szCs w:val="24"/>
            <w:lang w:val="fr-FR" w:eastAsia="ja-JP"/>
          </w:rPr>
          <w:tab/>
        </w:r>
        <w:r w:rsidR="00923F27" w:rsidRPr="00182A40">
          <w:rPr>
            <w:rStyle w:val="Hyperlink"/>
            <w:noProof/>
          </w:rPr>
          <w:t>Conformité aux licences</w:t>
        </w:r>
        <w:r w:rsidR="00923F27" w:rsidRPr="00182A40">
          <w:rPr>
            <w:noProof/>
            <w:webHidden/>
            <w:lang w:val="fr-FR"/>
          </w:rPr>
          <w:tab/>
        </w:r>
        <w:r w:rsidR="00923F27" w:rsidRPr="00182A40">
          <w:rPr>
            <w:noProof/>
            <w:webHidden/>
            <w:lang w:val="fr-FR"/>
          </w:rPr>
          <w:fldChar w:fldCharType="begin"/>
        </w:r>
        <w:r w:rsidR="00923F27" w:rsidRPr="00182A40">
          <w:rPr>
            <w:noProof/>
            <w:webHidden/>
            <w:lang w:val="fr-FR"/>
          </w:rPr>
          <w:instrText xml:space="preserve"> PAGEREF _Toc57210379 \h </w:instrText>
        </w:r>
        <w:r w:rsidR="00923F27" w:rsidRPr="00182A40">
          <w:rPr>
            <w:noProof/>
            <w:webHidden/>
            <w:lang w:val="fr-FR"/>
          </w:rPr>
        </w:r>
        <w:r w:rsidR="00923F27" w:rsidRPr="00182A40">
          <w:rPr>
            <w:noProof/>
            <w:webHidden/>
            <w:lang w:val="fr-FR"/>
          </w:rPr>
          <w:fldChar w:fldCharType="separate"/>
        </w:r>
        <w:r w:rsidR="00923F27" w:rsidRPr="00182A40">
          <w:rPr>
            <w:noProof/>
            <w:webHidden/>
            <w:lang w:val="fr-FR"/>
          </w:rPr>
          <w:t>5</w:t>
        </w:r>
        <w:r w:rsidR="00923F27" w:rsidRPr="00182A40">
          <w:rPr>
            <w:noProof/>
            <w:webHidden/>
            <w:lang w:val="fr-FR"/>
          </w:rPr>
          <w:fldChar w:fldCharType="end"/>
        </w:r>
      </w:hyperlink>
    </w:p>
    <w:p w14:paraId="076C7561" w14:textId="6C876D94" w:rsidR="00923F27" w:rsidRPr="00182A40" w:rsidRDefault="00BB1C24">
      <w:pPr>
        <w:pStyle w:val="TOC2"/>
        <w:rPr>
          <w:rFonts w:asciiTheme="minorHAnsi" w:eastAsiaTheme="minorEastAsia" w:hAnsiTheme="minorHAnsi" w:cstheme="minorBidi"/>
          <w:b w:val="0"/>
          <w:noProof/>
          <w:sz w:val="24"/>
          <w:szCs w:val="24"/>
          <w:lang w:val="fr-FR" w:eastAsia="ja-JP"/>
        </w:rPr>
      </w:pPr>
      <w:hyperlink w:anchor="_Toc57210380" w:history="1">
        <w:r w:rsidR="00923F27" w:rsidRPr="00182A40">
          <w:rPr>
            <w:rStyle w:val="Hyperlink"/>
            <w:noProof/>
          </w:rPr>
          <w:t>3.4</w:t>
        </w:r>
        <w:r w:rsidR="00923F27" w:rsidRPr="00182A40">
          <w:rPr>
            <w:rFonts w:asciiTheme="minorHAnsi" w:eastAsiaTheme="minorEastAsia" w:hAnsiTheme="minorHAnsi" w:cstheme="minorBidi"/>
            <w:b w:val="0"/>
            <w:noProof/>
            <w:sz w:val="24"/>
            <w:szCs w:val="24"/>
            <w:lang w:val="fr-FR" w:eastAsia="ja-JP"/>
          </w:rPr>
          <w:tab/>
        </w:r>
        <w:r w:rsidR="00923F27" w:rsidRPr="00182A40">
          <w:rPr>
            <w:rStyle w:val="Hyperlink"/>
            <w:noProof/>
          </w:rPr>
          <w:t>Création et fourniture de livrables de conformité</w:t>
        </w:r>
        <w:r w:rsidR="00923F27" w:rsidRPr="00182A40">
          <w:rPr>
            <w:noProof/>
            <w:webHidden/>
            <w:lang w:val="fr-FR"/>
          </w:rPr>
          <w:tab/>
        </w:r>
        <w:r w:rsidR="00923F27" w:rsidRPr="00182A40">
          <w:rPr>
            <w:noProof/>
            <w:webHidden/>
            <w:lang w:val="fr-FR"/>
          </w:rPr>
          <w:fldChar w:fldCharType="begin"/>
        </w:r>
        <w:r w:rsidR="00923F27" w:rsidRPr="00182A40">
          <w:rPr>
            <w:noProof/>
            <w:webHidden/>
            <w:lang w:val="fr-FR"/>
          </w:rPr>
          <w:instrText xml:space="preserve"> PAGEREF _Toc57210380 \h </w:instrText>
        </w:r>
        <w:r w:rsidR="00923F27" w:rsidRPr="00182A40">
          <w:rPr>
            <w:noProof/>
            <w:webHidden/>
            <w:lang w:val="fr-FR"/>
          </w:rPr>
        </w:r>
        <w:r w:rsidR="00923F27" w:rsidRPr="00182A40">
          <w:rPr>
            <w:noProof/>
            <w:webHidden/>
            <w:lang w:val="fr-FR"/>
          </w:rPr>
          <w:fldChar w:fldCharType="separate"/>
        </w:r>
        <w:r w:rsidR="00923F27" w:rsidRPr="00182A40">
          <w:rPr>
            <w:noProof/>
            <w:webHidden/>
            <w:lang w:val="fr-FR"/>
          </w:rPr>
          <w:t>5</w:t>
        </w:r>
        <w:r w:rsidR="00923F27" w:rsidRPr="00182A40">
          <w:rPr>
            <w:noProof/>
            <w:webHidden/>
            <w:lang w:val="fr-FR"/>
          </w:rPr>
          <w:fldChar w:fldCharType="end"/>
        </w:r>
      </w:hyperlink>
    </w:p>
    <w:p w14:paraId="66DFAF2D" w14:textId="31C91374" w:rsidR="00923F27" w:rsidRPr="00182A40" w:rsidRDefault="00BB1C24">
      <w:pPr>
        <w:pStyle w:val="TOC3"/>
        <w:rPr>
          <w:rFonts w:asciiTheme="minorHAnsi" w:eastAsiaTheme="minorEastAsia" w:hAnsiTheme="minorHAnsi" w:cstheme="minorBidi"/>
          <w:b w:val="0"/>
          <w:noProof/>
          <w:sz w:val="24"/>
          <w:szCs w:val="24"/>
          <w:lang w:val="fr-FR" w:eastAsia="ja-JP"/>
        </w:rPr>
      </w:pPr>
      <w:hyperlink w:anchor="_Toc57210381" w:history="1">
        <w:r w:rsidR="00923F27" w:rsidRPr="00182A40">
          <w:rPr>
            <w:rStyle w:val="Hyperlink"/>
            <w:noProof/>
          </w:rPr>
          <w:t>3.4.1</w:t>
        </w:r>
        <w:r w:rsidR="00923F27" w:rsidRPr="00182A40">
          <w:rPr>
            <w:rFonts w:asciiTheme="minorHAnsi" w:eastAsiaTheme="minorEastAsia" w:hAnsiTheme="minorHAnsi" w:cstheme="minorBidi"/>
            <w:b w:val="0"/>
            <w:noProof/>
            <w:sz w:val="24"/>
            <w:szCs w:val="24"/>
            <w:lang w:val="fr-FR" w:eastAsia="ja-JP"/>
          </w:rPr>
          <w:tab/>
        </w:r>
        <w:r w:rsidR="00923F27" w:rsidRPr="00182A40">
          <w:rPr>
            <w:rStyle w:val="Hyperlink"/>
            <w:noProof/>
          </w:rPr>
          <w:t>Livrables de conformité</w:t>
        </w:r>
        <w:r w:rsidR="00923F27" w:rsidRPr="00182A40">
          <w:rPr>
            <w:noProof/>
            <w:webHidden/>
            <w:lang w:val="fr-FR"/>
          </w:rPr>
          <w:tab/>
        </w:r>
        <w:r w:rsidR="00923F27" w:rsidRPr="00182A40">
          <w:rPr>
            <w:noProof/>
            <w:webHidden/>
            <w:lang w:val="fr-FR"/>
          </w:rPr>
          <w:fldChar w:fldCharType="begin"/>
        </w:r>
        <w:r w:rsidR="00923F27" w:rsidRPr="00182A40">
          <w:rPr>
            <w:noProof/>
            <w:webHidden/>
            <w:lang w:val="fr-FR"/>
          </w:rPr>
          <w:instrText xml:space="preserve"> PAGEREF _Toc57210381 \h </w:instrText>
        </w:r>
        <w:r w:rsidR="00923F27" w:rsidRPr="00182A40">
          <w:rPr>
            <w:noProof/>
            <w:webHidden/>
            <w:lang w:val="fr-FR"/>
          </w:rPr>
        </w:r>
        <w:r w:rsidR="00923F27" w:rsidRPr="00182A40">
          <w:rPr>
            <w:noProof/>
            <w:webHidden/>
            <w:lang w:val="fr-FR"/>
          </w:rPr>
          <w:fldChar w:fldCharType="separate"/>
        </w:r>
        <w:r w:rsidR="00923F27" w:rsidRPr="00182A40">
          <w:rPr>
            <w:noProof/>
            <w:webHidden/>
            <w:lang w:val="fr-FR"/>
          </w:rPr>
          <w:t>5</w:t>
        </w:r>
        <w:r w:rsidR="00923F27" w:rsidRPr="00182A40">
          <w:rPr>
            <w:noProof/>
            <w:webHidden/>
            <w:lang w:val="fr-FR"/>
          </w:rPr>
          <w:fldChar w:fldCharType="end"/>
        </w:r>
      </w:hyperlink>
    </w:p>
    <w:p w14:paraId="2E50403E" w14:textId="4503502D" w:rsidR="00923F27" w:rsidRPr="00182A40" w:rsidRDefault="00BB1C24">
      <w:pPr>
        <w:pStyle w:val="TOC2"/>
        <w:rPr>
          <w:rFonts w:asciiTheme="minorHAnsi" w:eastAsiaTheme="minorEastAsia" w:hAnsiTheme="minorHAnsi" w:cstheme="minorBidi"/>
          <w:b w:val="0"/>
          <w:noProof/>
          <w:sz w:val="24"/>
          <w:szCs w:val="24"/>
          <w:lang w:val="fr-FR" w:eastAsia="ja-JP"/>
        </w:rPr>
      </w:pPr>
      <w:hyperlink w:anchor="_Toc57210382" w:history="1">
        <w:r w:rsidR="00923F27" w:rsidRPr="00182A40">
          <w:rPr>
            <w:rStyle w:val="Hyperlink"/>
            <w:noProof/>
          </w:rPr>
          <w:t>3.5</w:t>
        </w:r>
        <w:r w:rsidR="00923F27" w:rsidRPr="00182A40">
          <w:rPr>
            <w:rFonts w:asciiTheme="minorHAnsi" w:eastAsiaTheme="minorEastAsia" w:hAnsiTheme="minorHAnsi" w:cstheme="minorBidi"/>
            <w:b w:val="0"/>
            <w:noProof/>
            <w:sz w:val="24"/>
            <w:szCs w:val="24"/>
            <w:lang w:val="fr-FR" w:eastAsia="ja-JP"/>
          </w:rPr>
          <w:tab/>
        </w:r>
        <w:r w:rsidR="00923F27" w:rsidRPr="00182A40">
          <w:rPr>
            <w:rStyle w:val="Hyperlink"/>
            <w:noProof/>
          </w:rPr>
          <w:t>Comprendre les engagements de la communauté open source</w:t>
        </w:r>
        <w:r w:rsidR="00923F27" w:rsidRPr="00182A40">
          <w:rPr>
            <w:noProof/>
            <w:webHidden/>
            <w:lang w:val="fr-FR"/>
          </w:rPr>
          <w:tab/>
        </w:r>
        <w:r w:rsidR="00923F27" w:rsidRPr="00182A40">
          <w:rPr>
            <w:noProof/>
            <w:webHidden/>
            <w:lang w:val="fr-FR"/>
          </w:rPr>
          <w:fldChar w:fldCharType="begin"/>
        </w:r>
        <w:r w:rsidR="00923F27" w:rsidRPr="00182A40">
          <w:rPr>
            <w:noProof/>
            <w:webHidden/>
            <w:lang w:val="fr-FR"/>
          </w:rPr>
          <w:instrText xml:space="preserve"> PAGEREF _Toc57210382 \h </w:instrText>
        </w:r>
        <w:r w:rsidR="00923F27" w:rsidRPr="00182A40">
          <w:rPr>
            <w:noProof/>
            <w:webHidden/>
            <w:lang w:val="fr-FR"/>
          </w:rPr>
        </w:r>
        <w:r w:rsidR="00923F27" w:rsidRPr="00182A40">
          <w:rPr>
            <w:noProof/>
            <w:webHidden/>
            <w:lang w:val="fr-FR"/>
          </w:rPr>
          <w:fldChar w:fldCharType="separate"/>
        </w:r>
        <w:r w:rsidR="00923F27" w:rsidRPr="00182A40">
          <w:rPr>
            <w:noProof/>
            <w:webHidden/>
            <w:lang w:val="fr-FR"/>
          </w:rPr>
          <w:t>6</w:t>
        </w:r>
        <w:r w:rsidR="00923F27" w:rsidRPr="00182A40">
          <w:rPr>
            <w:noProof/>
            <w:webHidden/>
            <w:lang w:val="fr-FR"/>
          </w:rPr>
          <w:fldChar w:fldCharType="end"/>
        </w:r>
      </w:hyperlink>
    </w:p>
    <w:p w14:paraId="57BD5DC5" w14:textId="0B641AD5" w:rsidR="00923F27" w:rsidRPr="00182A40" w:rsidRDefault="00BB1C24">
      <w:pPr>
        <w:pStyle w:val="TOC3"/>
        <w:rPr>
          <w:rFonts w:asciiTheme="minorHAnsi" w:eastAsiaTheme="minorEastAsia" w:hAnsiTheme="minorHAnsi" w:cstheme="minorBidi"/>
          <w:b w:val="0"/>
          <w:noProof/>
          <w:sz w:val="24"/>
          <w:szCs w:val="24"/>
          <w:lang w:val="fr-FR" w:eastAsia="ja-JP"/>
        </w:rPr>
      </w:pPr>
      <w:hyperlink w:anchor="_Toc57210383" w:history="1">
        <w:r w:rsidR="00923F27" w:rsidRPr="00182A40">
          <w:rPr>
            <w:rStyle w:val="Hyperlink"/>
            <w:noProof/>
          </w:rPr>
          <w:t>3.5.1</w:t>
        </w:r>
        <w:r w:rsidR="00923F27" w:rsidRPr="00182A40">
          <w:rPr>
            <w:rFonts w:asciiTheme="minorHAnsi" w:eastAsiaTheme="minorEastAsia" w:hAnsiTheme="minorHAnsi" w:cstheme="minorBidi"/>
            <w:b w:val="0"/>
            <w:noProof/>
            <w:sz w:val="24"/>
            <w:szCs w:val="24"/>
            <w:lang w:val="fr-FR" w:eastAsia="ja-JP"/>
          </w:rPr>
          <w:tab/>
        </w:r>
        <w:r w:rsidR="00923F27" w:rsidRPr="00182A40">
          <w:rPr>
            <w:rStyle w:val="Hyperlink"/>
            <w:noProof/>
          </w:rPr>
          <w:t>Contributions</w:t>
        </w:r>
        <w:r w:rsidR="00923F27" w:rsidRPr="00182A40">
          <w:rPr>
            <w:noProof/>
            <w:webHidden/>
            <w:lang w:val="fr-FR"/>
          </w:rPr>
          <w:tab/>
        </w:r>
        <w:r w:rsidR="00923F27" w:rsidRPr="00182A40">
          <w:rPr>
            <w:noProof/>
            <w:webHidden/>
            <w:lang w:val="fr-FR"/>
          </w:rPr>
          <w:fldChar w:fldCharType="begin"/>
        </w:r>
        <w:r w:rsidR="00923F27" w:rsidRPr="00182A40">
          <w:rPr>
            <w:noProof/>
            <w:webHidden/>
            <w:lang w:val="fr-FR"/>
          </w:rPr>
          <w:instrText xml:space="preserve"> PAGEREF _Toc57210383 \h </w:instrText>
        </w:r>
        <w:r w:rsidR="00923F27" w:rsidRPr="00182A40">
          <w:rPr>
            <w:noProof/>
            <w:webHidden/>
            <w:lang w:val="fr-FR"/>
          </w:rPr>
        </w:r>
        <w:r w:rsidR="00923F27" w:rsidRPr="00182A40">
          <w:rPr>
            <w:noProof/>
            <w:webHidden/>
            <w:lang w:val="fr-FR"/>
          </w:rPr>
          <w:fldChar w:fldCharType="separate"/>
        </w:r>
        <w:r w:rsidR="00923F27" w:rsidRPr="00182A40">
          <w:rPr>
            <w:noProof/>
            <w:webHidden/>
            <w:lang w:val="fr-FR"/>
          </w:rPr>
          <w:t>6</w:t>
        </w:r>
        <w:r w:rsidR="00923F27" w:rsidRPr="00182A40">
          <w:rPr>
            <w:noProof/>
            <w:webHidden/>
            <w:lang w:val="fr-FR"/>
          </w:rPr>
          <w:fldChar w:fldCharType="end"/>
        </w:r>
      </w:hyperlink>
    </w:p>
    <w:p w14:paraId="16C320D7" w14:textId="28B98F77" w:rsidR="00923F27" w:rsidRPr="00182A40" w:rsidRDefault="00BB1C24">
      <w:pPr>
        <w:pStyle w:val="TOC2"/>
        <w:rPr>
          <w:rFonts w:asciiTheme="minorHAnsi" w:eastAsiaTheme="minorEastAsia" w:hAnsiTheme="minorHAnsi" w:cstheme="minorBidi"/>
          <w:b w:val="0"/>
          <w:noProof/>
          <w:sz w:val="24"/>
          <w:szCs w:val="24"/>
          <w:lang w:val="fr-FR" w:eastAsia="ja-JP"/>
        </w:rPr>
      </w:pPr>
      <w:hyperlink w:anchor="_Toc57210384" w:history="1">
        <w:r w:rsidR="00923F27" w:rsidRPr="00182A40">
          <w:rPr>
            <w:rStyle w:val="Hyperlink"/>
            <w:noProof/>
          </w:rPr>
          <w:t>3.6</w:t>
        </w:r>
        <w:r w:rsidR="00923F27" w:rsidRPr="00182A40">
          <w:rPr>
            <w:rFonts w:asciiTheme="minorHAnsi" w:eastAsiaTheme="minorEastAsia" w:hAnsiTheme="minorHAnsi" w:cstheme="minorBidi"/>
            <w:b w:val="0"/>
            <w:noProof/>
            <w:sz w:val="24"/>
            <w:szCs w:val="24"/>
            <w:lang w:val="fr-FR" w:eastAsia="ja-JP"/>
          </w:rPr>
          <w:tab/>
        </w:r>
        <w:r w:rsidR="00923F27" w:rsidRPr="00182A40">
          <w:rPr>
            <w:rStyle w:val="Hyperlink"/>
            <w:noProof/>
          </w:rPr>
          <w:t>Conformité aux exigences de la spécification</w:t>
        </w:r>
        <w:r w:rsidR="00923F27" w:rsidRPr="00182A40">
          <w:rPr>
            <w:noProof/>
            <w:webHidden/>
            <w:lang w:val="fr-FR"/>
          </w:rPr>
          <w:tab/>
        </w:r>
        <w:r w:rsidR="00923F27" w:rsidRPr="00182A40">
          <w:rPr>
            <w:noProof/>
            <w:webHidden/>
            <w:lang w:val="fr-FR"/>
          </w:rPr>
          <w:fldChar w:fldCharType="begin"/>
        </w:r>
        <w:r w:rsidR="00923F27" w:rsidRPr="00182A40">
          <w:rPr>
            <w:noProof/>
            <w:webHidden/>
            <w:lang w:val="fr-FR"/>
          </w:rPr>
          <w:instrText xml:space="preserve"> PAGEREF _Toc57210384 \h </w:instrText>
        </w:r>
        <w:r w:rsidR="00923F27" w:rsidRPr="00182A40">
          <w:rPr>
            <w:noProof/>
            <w:webHidden/>
            <w:lang w:val="fr-FR"/>
          </w:rPr>
        </w:r>
        <w:r w:rsidR="00923F27" w:rsidRPr="00182A40">
          <w:rPr>
            <w:noProof/>
            <w:webHidden/>
            <w:lang w:val="fr-FR"/>
          </w:rPr>
          <w:fldChar w:fldCharType="separate"/>
        </w:r>
        <w:r w:rsidR="00923F27" w:rsidRPr="00182A40">
          <w:rPr>
            <w:noProof/>
            <w:webHidden/>
            <w:lang w:val="fr-FR"/>
          </w:rPr>
          <w:t>6</w:t>
        </w:r>
        <w:r w:rsidR="00923F27" w:rsidRPr="00182A40">
          <w:rPr>
            <w:noProof/>
            <w:webHidden/>
            <w:lang w:val="fr-FR"/>
          </w:rPr>
          <w:fldChar w:fldCharType="end"/>
        </w:r>
      </w:hyperlink>
    </w:p>
    <w:p w14:paraId="56CF9C84" w14:textId="765E7B18" w:rsidR="00923F27" w:rsidRPr="00182A40" w:rsidRDefault="00BB1C24">
      <w:pPr>
        <w:pStyle w:val="TOC3"/>
        <w:rPr>
          <w:rFonts w:asciiTheme="minorHAnsi" w:eastAsiaTheme="minorEastAsia" w:hAnsiTheme="minorHAnsi" w:cstheme="minorBidi"/>
          <w:b w:val="0"/>
          <w:noProof/>
          <w:sz w:val="24"/>
          <w:szCs w:val="24"/>
          <w:lang w:val="fr-FR" w:eastAsia="ja-JP"/>
        </w:rPr>
      </w:pPr>
      <w:hyperlink w:anchor="_Toc57210385" w:history="1">
        <w:r w:rsidR="00923F27" w:rsidRPr="00182A40">
          <w:rPr>
            <w:rStyle w:val="Hyperlink"/>
            <w:noProof/>
          </w:rPr>
          <w:t>3.6.1</w:t>
        </w:r>
        <w:r w:rsidR="00923F27" w:rsidRPr="00182A40">
          <w:rPr>
            <w:rFonts w:asciiTheme="minorHAnsi" w:eastAsiaTheme="minorEastAsia" w:hAnsiTheme="minorHAnsi" w:cstheme="minorBidi"/>
            <w:b w:val="0"/>
            <w:noProof/>
            <w:sz w:val="24"/>
            <w:szCs w:val="24"/>
            <w:lang w:val="fr-FR" w:eastAsia="ja-JP"/>
          </w:rPr>
          <w:tab/>
        </w:r>
        <w:r w:rsidR="00923F27" w:rsidRPr="00182A40">
          <w:rPr>
            <w:rStyle w:val="Hyperlink"/>
            <w:noProof/>
          </w:rPr>
          <w:t>Conformité</w:t>
        </w:r>
        <w:r w:rsidR="00923F27" w:rsidRPr="00182A40">
          <w:rPr>
            <w:noProof/>
            <w:webHidden/>
            <w:lang w:val="fr-FR"/>
          </w:rPr>
          <w:tab/>
        </w:r>
        <w:r w:rsidR="00923F27" w:rsidRPr="00182A40">
          <w:rPr>
            <w:noProof/>
            <w:webHidden/>
            <w:lang w:val="fr-FR"/>
          </w:rPr>
          <w:fldChar w:fldCharType="begin"/>
        </w:r>
        <w:r w:rsidR="00923F27" w:rsidRPr="00182A40">
          <w:rPr>
            <w:noProof/>
            <w:webHidden/>
            <w:lang w:val="fr-FR"/>
          </w:rPr>
          <w:instrText xml:space="preserve"> PAGEREF _Toc57210385 \h </w:instrText>
        </w:r>
        <w:r w:rsidR="00923F27" w:rsidRPr="00182A40">
          <w:rPr>
            <w:noProof/>
            <w:webHidden/>
            <w:lang w:val="fr-FR"/>
          </w:rPr>
        </w:r>
        <w:r w:rsidR="00923F27" w:rsidRPr="00182A40">
          <w:rPr>
            <w:noProof/>
            <w:webHidden/>
            <w:lang w:val="fr-FR"/>
          </w:rPr>
          <w:fldChar w:fldCharType="separate"/>
        </w:r>
        <w:r w:rsidR="00923F27" w:rsidRPr="00182A40">
          <w:rPr>
            <w:noProof/>
            <w:webHidden/>
            <w:lang w:val="fr-FR"/>
          </w:rPr>
          <w:t>6</w:t>
        </w:r>
        <w:r w:rsidR="00923F27" w:rsidRPr="00182A40">
          <w:rPr>
            <w:noProof/>
            <w:webHidden/>
            <w:lang w:val="fr-FR"/>
          </w:rPr>
          <w:fldChar w:fldCharType="end"/>
        </w:r>
      </w:hyperlink>
    </w:p>
    <w:p w14:paraId="75B44792" w14:textId="7B8AE92D" w:rsidR="00923F27" w:rsidRPr="00182A40" w:rsidRDefault="00BB1C24">
      <w:pPr>
        <w:pStyle w:val="TOC3"/>
        <w:rPr>
          <w:rFonts w:asciiTheme="minorHAnsi" w:eastAsiaTheme="minorEastAsia" w:hAnsiTheme="minorHAnsi" w:cstheme="minorBidi"/>
          <w:b w:val="0"/>
          <w:noProof/>
          <w:sz w:val="24"/>
          <w:szCs w:val="24"/>
          <w:lang w:val="fr-FR" w:eastAsia="ja-JP"/>
        </w:rPr>
      </w:pPr>
      <w:hyperlink w:anchor="_Toc57210386" w:history="1">
        <w:r w:rsidR="00923F27" w:rsidRPr="00182A40">
          <w:rPr>
            <w:rStyle w:val="Hyperlink"/>
            <w:noProof/>
          </w:rPr>
          <w:t>3.6.2</w:t>
        </w:r>
        <w:r w:rsidR="00923F27" w:rsidRPr="00182A40">
          <w:rPr>
            <w:rFonts w:asciiTheme="minorHAnsi" w:eastAsiaTheme="minorEastAsia" w:hAnsiTheme="minorHAnsi" w:cstheme="minorBidi"/>
            <w:b w:val="0"/>
            <w:noProof/>
            <w:sz w:val="24"/>
            <w:szCs w:val="24"/>
            <w:lang w:val="fr-FR" w:eastAsia="ja-JP"/>
          </w:rPr>
          <w:tab/>
        </w:r>
        <w:r w:rsidR="00923F27" w:rsidRPr="00182A40">
          <w:rPr>
            <w:rStyle w:val="Hyperlink"/>
            <w:noProof/>
          </w:rPr>
          <w:t>Durée</w:t>
        </w:r>
        <w:r w:rsidR="00923F27" w:rsidRPr="00182A40">
          <w:rPr>
            <w:noProof/>
            <w:webHidden/>
            <w:lang w:val="fr-FR"/>
          </w:rPr>
          <w:tab/>
        </w:r>
        <w:r w:rsidR="00923F27" w:rsidRPr="00182A40">
          <w:rPr>
            <w:noProof/>
            <w:webHidden/>
            <w:lang w:val="fr-FR"/>
          </w:rPr>
          <w:fldChar w:fldCharType="begin"/>
        </w:r>
        <w:r w:rsidR="00923F27" w:rsidRPr="00182A40">
          <w:rPr>
            <w:noProof/>
            <w:webHidden/>
            <w:lang w:val="fr-FR"/>
          </w:rPr>
          <w:instrText xml:space="preserve"> PAGEREF _Toc57210386 \h </w:instrText>
        </w:r>
        <w:r w:rsidR="00923F27" w:rsidRPr="00182A40">
          <w:rPr>
            <w:noProof/>
            <w:webHidden/>
            <w:lang w:val="fr-FR"/>
          </w:rPr>
        </w:r>
        <w:r w:rsidR="00923F27" w:rsidRPr="00182A40">
          <w:rPr>
            <w:noProof/>
            <w:webHidden/>
            <w:lang w:val="fr-FR"/>
          </w:rPr>
          <w:fldChar w:fldCharType="separate"/>
        </w:r>
        <w:r w:rsidR="00923F27" w:rsidRPr="00182A40">
          <w:rPr>
            <w:noProof/>
            <w:webHidden/>
            <w:lang w:val="fr-FR"/>
          </w:rPr>
          <w:t>7</w:t>
        </w:r>
        <w:r w:rsidR="00923F27" w:rsidRPr="00182A40">
          <w:rPr>
            <w:noProof/>
            <w:webHidden/>
            <w:lang w:val="fr-FR"/>
          </w:rPr>
          <w:fldChar w:fldCharType="end"/>
        </w:r>
      </w:hyperlink>
    </w:p>
    <w:p w14:paraId="202AA127" w14:textId="5BC2FD7D" w:rsidR="00923F27" w:rsidRPr="00182A40" w:rsidRDefault="00BB1C24">
      <w:pPr>
        <w:pStyle w:val="TOC1"/>
        <w:rPr>
          <w:rFonts w:asciiTheme="minorHAnsi" w:eastAsiaTheme="minorEastAsia" w:hAnsiTheme="minorHAnsi" w:cstheme="minorBidi"/>
          <w:b w:val="0"/>
          <w:noProof/>
          <w:sz w:val="24"/>
          <w:szCs w:val="24"/>
          <w:lang w:val="fr-FR" w:eastAsia="ja-JP"/>
        </w:rPr>
      </w:pPr>
      <w:hyperlink w:anchor="_Toc57210387" w:history="1">
        <w:r w:rsidR="00923F27" w:rsidRPr="00182A40">
          <w:rPr>
            <w:rStyle w:val="Hyperlink"/>
            <w:noProof/>
          </w:rPr>
          <w:t>Annexe A (informative) Traductions de cette spécification</w:t>
        </w:r>
        <w:r w:rsidR="00923F27" w:rsidRPr="00182A40">
          <w:rPr>
            <w:noProof/>
            <w:webHidden/>
            <w:lang w:val="fr-FR"/>
          </w:rPr>
          <w:tab/>
        </w:r>
        <w:r w:rsidR="00923F27" w:rsidRPr="00182A40">
          <w:rPr>
            <w:noProof/>
            <w:webHidden/>
            <w:lang w:val="fr-FR"/>
          </w:rPr>
          <w:fldChar w:fldCharType="begin"/>
        </w:r>
        <w:r w:rsidR="00923F27" w:rsidRPr="00182A40">
          <w:rPr>
            <w:noProof/>
            <w:webHidden/>
            <w:lang w:val="fr-FR"/>
          </w:rPr>
          <w:instrText xml:space="preserve"> PAGEREF _Toc57210387 \h </w:instrText>
        </w:r>
        <w:r w:rsidR="00923F27" w:rsidRPr="00182A40">
          <w:rPr>
            <w:noProof/>
            <w:webHidden/>
            <w:lang w:val="fr-FR"/>
          </w:rPr>
        </w:r>
        <w:r w:rsidR="00923F27" w:rsidRPr="00182A40">
          <w:rPr>
            <w:noProof/>
            <w:webHidden/>
            <w:lang w:val="fr-FR"/>
          </w:rPr>
          <w:fldChar w:fldCharType="separate"/>
        </w:r>
        <w:r w:rsidR="00923F27" w:rsidRPr="00182A40">
          <w:rPr>
            <w:noProof/>
            <w:webHidden/>
            <w:lang w:val="fr-FR"/>
          </w:rPr>
          <w:t>8</w:t>
        </w:r>
        <w:r w:rsidR="00923F27" w:rsidRPr="00182A40">
          <w:rPr>
            <w:noProof/>
            <w:webHidden/>
            <w:lang w:val="fr-FR"/>
          </w:rPr>
          <w:fldChar w:fldCharType="end"/>
        </w:r>
      </w:hyperlink>
    </w:p>
    <w:p w14:paraId="2D5948FF" w14:textId="1E752B6A" w:rsidR="001A33D0" w:rsidRPr="00182A40" w:rsidRDefault="0054733A" w:rsidP="001A33D0">
      <w:pPr>
        <w:pStyle w:val="TOC1"/>
        <w:rPr>
          <w:lang w:val="fr-FR"/>
        </w:rPr>
      </w:pPr>
      <w:r w:rsidRPr="00182A40">
        <w:rPr>
          <w:lang w:val="fr-FR"/>
        </w:rPr>
        <w:fldChar w:fldCharType="end"/>
      </w:r>
    </w:p>
    <w:p w14:paraId="507430EB" w14:textId="77777777" w:rsidR="001A33D0" w:rsidRPr="00182A40" w:rsidRDefault="001A33D0" w:rsidP="001A33D0">
      <w:pPr>
        <w:pStyle w:val="IntroTitle"/>
        <w:pageBreakBefore/>
        <w:rPr>
          <w:lang w:val="fr-FR"/>
        </w:rPr>
      </w:pPr>
      <w:bookmarkStart w:id="0" w:name="_Toc353342668"/>
      <w:bookmarkStart w:id="1" w:name="_Toc57210364"/>
      <w:r w:rsidRPr="00182A40">
        <w:rPr>
          <w:lang w:val="fr-FR"/>
        </w:rPr>
        <w:lastRenderedPageBreak/>
        <w:t>Introduction</w:t>
      </w:r>
      <w:bookmarkEnd w:id="0"/>
      <w:bookmarkEnd w:id="1"/>
    </w:p>
    <w:p w14:paraId="523AFF47" w14:textId="17E6C5BC" w:rsidR="006259E3" w:rsidRPr="00182A40" w:rsidRDefault="006259E3" w:rsidP="006259E3">
      <w:pPr>
        <w:rPr>
          <w:rFonts w:eastAsia="Times New Roman"/>
          <w:lang w:val="fr-FR"/>
        </w:rPr>
      </w:pPr>
      <w:r w:rsidRPr="00182A40">
        <w:rPr>
          <w:lang w:val="fr-FR"/>
        </w:rPr>
        <w:t>Ce document définit les exigences fondamentales d'un programme de conformité aux licences open source de qualité. Son objectif est de fournir un point de référence qui instaure la confiance entre organisations qui échangent des solutions logicielles composées de logiciels open source. Le respect de cette spécification assure qu’un programme a été mis en œuvre pour produire les livrables de conformité (c</w:t>
      </w:r>
      <w:r w:rsidR="00182A40" w:rsidRPr="00182A40">
        <w:rPr>
          <w:lang w:val="fr-FR"/>
        </w:rPr>
        <w:t>.</w:t>
      </w:r>
      <w:r w:rsidRPr="00182A40">
        <w:rPr>
          <w:lang w:val="fr-FR"/>
        </w:rPr>
        <w:t xml:space="preserve">-à-d. notices juridiques, code source, etc.) pour chaque solution logicielle. Ce document se concentre sur le « quoi » et le « pourquoi » d’un programme de conformité plus que sur le « comment » et le « quand ». Ceci offre à des organisations de tailles différentes, opérant dans des marchés différents, la flexibilité nécessaire pour choisir des politiques et des processus spécifiques qui soient adaptés à leur taille, leurs objectifs ainsi qu’à leurs champs d’application. Un programme conforme à </w:t>
      </w:r>
      <w:proofErr w:type="spellStart"/>
      <w:r w:rsidRPr="00182A40">
        <w:rPr>
          <w:lang w:val="fr-FR"/>
        </w:rPr>
        <w:t>OpenChain</w:t>
      </w:r>
      <w:proofErr w:type="spellEnd"/>
      <w:r w:rsidRPr="00182A40">
        <w:rPr>
          <w:lang w:val="fr-FR"/>
        </w:rPr>
        <w:t xml:space="preserve"> peut par exemple porter sur une seule gamme de produits ou bien sur l’ensemble de l’organisation.</w:t>
      </w:r>
    </w:p>
    <w:p w14:paraId="4F9FAF36" w14:textId="4CF2C119" w:rsidR="006259E3" w:rsidRPr="00182A40" w:rsidRDefault="006259E3" w:rsidP="006259E3">
      <w:pPr>
        <w:rPr>
          <w:rFonts w:eastAsia="Times New Roman"/>
          <w:lang w:val="fr-FR"/>
        </w:rPr>
      </w:pPr>
      <w:r w:rsidRPr="00182A40">
        <w:rPr>
          <w:rFonts w:eastAsia="Times New Roman"/>
          <w:lang w:val="fr-FR"/>
        </w:rPr>
        <w:t>Cette introduction présente le contexte pour l’ensemble des utilisateurs potentiels. La clause 2 définit les termes clés utilisés dans le cadre du présent document. La clause 3 définit les exigences requises pour qu’un programme soit considéré comme conforme. Chaque exigence est constituée d’un ou plusieurs éléments de vérification (c</w:t>
      </w:r>
      <w:r w:rsidR="00182A40" w:rsidRPr="00182A40">
        <w:rPr>
          <w:rFonts w:eastAsia="Times New Roman"/>
          <w:lang w:val="fr-FR"/>
        </w:rPr>
        <w:t>.</w:t>
      </w:r>
      <w:r w:rsidRPr="00182A40">
        <w:rPr>
          <w:rFonts w:eastAsia="Times New Roman"/>
          <w:lang w:val="fr-FR"/>
        </w:rPr>
        <w:t>-à-d. archives) qui doivent être produits pour que l’exigence soit considérée comme satisfaite. Il n’est pas exigé que les éléments de vérification soient rendus publics mais une organisation peut choisir de les communiquer à des tiers, éventuellement sous entente de non-divulgation (END).</w:t>
      </w:r>
      <w:r w:rsidR="00BC2508" w:rsidRPr="00182A40">
        <w:rPr>
          <w:rFonts w:eastAsia="Times New Roman"/>
          <w:lang w:val="fr-FR"/>
        </w:rPr>
        <w:fldChar w:fldCharType="begin"/>
      </w:r>
      <w:r w:rsidR="00BC2508" w:rsidRPr="00182A40">
        <w:rPr>
          <w:rFonts w:eastAsia="Times New Roman"/>
          <w:lang w:val="fr-FR"/>
        </w:rPr>
        <w:instrText xml:space="preserve"> REF _Ref11912974 \r \h </w:instrText>
      </w:r>
      <w:r w:rsidR="00BC2508" w:rsidRPr="00182A40">
        <w:rPr>
          <w:rFonts w:eastAsia="Times New Roman"/>
          <w:lang w:val="fr-FR"/>
        </w:rPr>
      </w:r>
      <w:r w:rsidR="00BC2508" w:rsidRPr="00182A40">
        <w:rPr>
          <w:rFonts w:eastAsia="Times New Roman"/>
          <w:lang w:val="fr-FR"/>
        </w:rPr>
        <w:fldChar w:fldCharType="end"/>
      </w:r>
      <w:r w:rsidR="0064621B" w:rsidRPr="00182A40">
        <w:rPr>
          <w:rFonts w:eastAsia="Times New Roman"/>
          <w:lang w:val="fr-FR"/>
        </w:rPr>
        <w:fldChar w:fldCharType="begin"/>
      </w:r>
      <w:r w:rsidR="0064621B" w:rsidRPr="00182A40">
        <w:rPr>
          <w:rFonts w:eastAsia="Times New Roman"/>
          <w:lang w:val="fr-FR"/>
        </w:rPr>
        <w:instrText xml:space="preserve"> REF _Ref11920810 \r \h </w:instrText>
      </w:r>
      <w:r w:rsidR="0064621B" w:rsidRPr="00182A40">
        <w:rPr>
          <w:rFonts w:eastAsia="Times New Roman"/>
          <w:lang w:val="fr-FR"/>
        </w:rPr>
      </w:r>
      <w:r w:rsidR="0064621B" w:rsidRPr="00182A40">
        <w:rPr>
          <w:rFonts w:eastAsia="Times New Roman"/>
          <w:lang w:val="fr-FR"/>
        </w:rPr>
        <w:fldChar w:fldCharType="end"/>
      </w:r>
      <w:r w:rsidRPr="00182A40">
        <w:rPr>
          <w:rFonts w:eastAsia="Times New Roman"/>
          <w:lang w:val="fr-FR"/>
        </w:rPr>
        <w:t xml:space="preserve"> </w:t>
      </w:r>
    </w:p>
    <w:p w14:paraId="0888FD5E" w14:textId="69D0D59B" w:rsidR="006259E3" w:rsidRPr="00182A40" w:rsidRDefault="006259E3" w:rsidP="006259E3">
      <w:pPr>
        <w:rPr>
          <w:lang w:val="fr-FR"/>
        </w:rPr>
      </w:pPr>
      <w:r w:rsidRPr="00182A40">
        <w:rPr>
          <w:rFonts w:eastAsia="Times New Roman"/>
          <w:lang w:val="fr-FR"/>
        </w:rPr>
        <w:t>Le présent document a été élaboré de manière ouverte et collaborative, grâce à la participation de plus de 200 contributeurs. L'historique de son développement peut être perçu à travers la lecture de la liste de diffusion et de la FAQ de la spécification.</w:t>
      </w:r>
      <w:hyperlink r:id="rId9" w:history="1"/>
      <w:hyperlink r:id="rId10" w:history="1"/>
    </w:p>
    <w:p w14:paraId="17DC2542" w14:textId="77777777" w:rsidR="001A33D0" w:rsidRPr="00182A40" w:rsidRDefault="001A33D0" w:rsidP="001A33D0">
      <w:pPr>
        <w:rPr>
          <w:lang w:val="fr-FR"/>
        </w:rPr>
      </w:pPr>
    </w:p>
    <w:p w14:paraId="738E1FD4" w14:textId="77777777" w:rsidR="001A33D0" w:rsidRPr="00182A40" w:rsidRDefault="001A33D0" w:rsidP="001A33D0">
      <w:pPr>
        <w:pageBreakBefore/>
        <w:spacing w:after="360" w:line="360" w:lineRule="atLeast"/>
        <w:rPr>
          <w:b/>
          <w:sz w:val="32"/>
          <w:szCs w:val="32"/>
          <w:lang w:val="fr-FR"/>
        </w:rPr>
        <w:sectPr w:rsidR="001A33D0" w:rsidRPr="00182A40" w:rsidSect="004E4F09">
          <w:headerReference w:type="even" r:id="rId11"/>
          <w:headerReference w:type="default" r:id="rId12"/>
          <w:footerReference w:type="even" r:id="rId13"/>
          <w:footerReference w:type="default" r:id="rId14"/>
          <w:pgSz w:w="12240" w:h="15840" w:code="1"/>
          <w:pgMar w:top="1008" w:right="1080" w:bottom="1008" w:left="1080" w:header="706" w:footer="288" w:gutter="0"/>
          <w:pgNumType w:fmt="lowerRoman"/>
          <w:cols w:space="720"/>
        </w:sectPr>
      </w:pPr>
    </w:p>
    <w:p w14:paraId="2E67F377" w14:textId="7045FC5E" w:rsidR="001A33D0" w:rsidRPr="00182A40" w:rsidRDefault="008A395D" w:rsidP="001A33D0">
      <w:pPr>
        <w:pStyle w:val="zzSTDTitle"/>
        <w:spacing w:before="0" w:after="360"/>
        <w:rPr>
          <w:b w:val="0"/>
          <w:color w:val="auto"/>
          <w:lang w:val="fr-FR"/>
        </w:rPr>
      </w:pPr>
      <w:r w:rsidRPr="00182A40">
        <w:rPr>
          <w:color w:val="auto"/>
          <w:szCs w:val="32"/>
          <w:lang w:val="fr-FR"/>
        </w:rPr>
        <w:lastRenderedPageBreak/>
        <w:t xml:space="preserve">Technologies de l’information - Spécification </w:t>
      </w:r>
      <w:proofErr w:type="spellStart"/>
      <w:r w:rsidRPr="00182A40">
        <w:rPr>
          <w:color w:val="auto"/>
          <w:szCs w:val="32"/>
          <w:lang w:val="fr-FR"/>
        </w:rPr>
        <w:t>OpenChain</w:t>
      </w:r>
      <w:proofErr w:type="spellEnd"/>
    </w:p>
    <w:p w14:paraId="64F3E1FD" w14:textId="5DCA63BE" w:rsidR="001A33D0" w:rsidRPr="00182A40" w:rsidRDefault="001A33D0" w:rsidP="001A33D0">
      <w:pPr>
        <w:pStyle w:val="Heading1"/>
        <w:tabs>
          <w:tab w:val="clear" w:pos="432"/>
        </w:tabs>
        <w:ind w:left="0" w:firstLine="0"/>
        <w:rPr>
          <w:lang w:val="fr-FR"/>
        </w:rPr>
      </w:pPr>
      <w:bookmarkStart w:id="2" w:name="_Toc353342669"/>
      <w:bookmarkStart w:id="3" w:name="_Toc57210365"/>
      <w:r w:rsidRPr="00182A40">
        <w:rPr>
          <w:lang w:val="fr-FR"/>
        </w:rPr>
        <w:t>Champ d’application</w:t>
      </w:r>
      <w:bookmarkEnd w:id="2"/>
      <w:bookmarkEnd w:id="3"/>
    </w:p>
    <w:p w14:paraId="5F2D8194" w14:textId="3C57ADC7" w:rsidR="00CE656F" w:rsidRPr="00182A40" w:rsidRDefault="00CE656F" w:rsidP="00CE656F">
      <w:pPr>
        <w:rPr>
          <w:rFonts w:eastAsia="Times New Roman"/>
          <w:lang w:val="fr-FR"/>
        </w:rPr>
      </w:pPr>
      <w:r w:rsidRPr="00182A40">
        <w:rPr>
          <w:lang w:val="fr-FR"/>
        </w:rPr>
        <w:t>Ce document spécifie les principales exigences d’un programme de conformité aux licences de logiciels open source de qualité afin de fournir un point de repère à même de renforcer la confiance entre organisations échangeant des logiciels contenant des composants open source.</w:t>
      </w:r>
    </w:p>
    <w:p w14:paraId="17DD6DE8" w14:textId="786E64A7" w:rsidR="001A33D0" w:rsidRPr="00182A40" w:rsidRDefault="001A33D0" w:rsidP="005641F2">
      <w:pPr>
        <w:pStyle w:val="Heading1"/>
        <w:tabs>
          <w:tab w:val="clear" w:pos="432"/>
        </w:tabs>
        <w:spacing w:after="100" w:afterAutospacing="1"/>
        <w:ind w:left="0" w:firstLine="0"/>
        <w:rPr>
          <w:lang w:val="fr-FR"/>
        </w:rPr>
      </w:pPr>
      <w:bookmarkStart w:id="4" w:name="_Toc24197198"/>
      <w:bookmarkStart w:id="5" w:name="_Toc24197400"/>
      <w:bookmarkStart w:id="6" w:name="_Toc24314645"/>
      <w:bookmarkStart w:id="7" w:name="_Toc24315225"/>
      <w:bookmarkStart w:id="8" w:name="_Toc24316169"/>
      <w:bookmarkStart w:id="9" w:name="_Toc36758247"/>
      <w:bookmarkStart w:id="10" w:name="_Toc24197199"/>
      <w:bookmarkStart w:id="11" w:name="_Toc24197401"/>
      <w:bookmarkStart w:id="12" w:name="_Toc24314646"/>
      <w:bookmarkStart w:id="13" w:name="_Toc24315226"/>
      <w:bookmarkStart w:id="14" w:name="_Toc24316170"/>
      <w:bookmarkStart w:id="15" w:name="_Toc36758248"/>
      <w:bookmarkStart w:id="16" w:name="_Toc24197200"/>
      <w:bookmarkStart w:id="17" w:name="_Toc24197402"/>
      <w:bookmarkStart w:id="18" w:name="_Toc24314647"/>
      <w:bookmarkStart w:id="19" w:name="_Toc24315227"/>
      <w:bookmarkStart w:id="20" w:name="_Toc24316171"/>
      <w:bookmarkStart w:id="21" w:name="_Toc36758249"/>
      <w:bookmarkStart w:id="22" w:name="_Toc353342671"/>
      <w:bookmarkStart w:id="23" w:name="_Ref11912974"/>
      <w:bookmarkStart w:id="24" w:name="_Toc57210366"/>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Pr="00182A40">
        <w:rPr>
          <w:lang w:val="fr-FR"/>
        </w:rPr>
        <w:t>Termes et définitions</w:t>
      </w:r>
      <w:bookmarkEnd w:id="22"/>
      <w:bookmarkEnd w:id="23"/>
      <w:bookmarkEnd w:id="24"/>
    </w:p>
    <w:p w14:paraId="4EAA8A3B" w14:textId="77777777" w:rsidR="0070124E" w:rsidRPr="00182A40" w:rsidRDefault="0070124E" w:rsidP="005641F2">
      <w:pPr>
        <w:jc w:val="both"/>
        <w:rPr>
          <w:lang w:val="fr-FR"/>
        </w:rPr>
      </w:pPr>
      <w:r w:rsidRPr="00182A40">
        <w:rPr>
          <w:lang w:val="fr-FR"/>
        </w:rPr>
        <w:t>Les termes et définitions suivants s’appliquent aux fins du présent document.</w:t>
      </w:r>
    </w:p>
    <w:p w14:paraId="51D75952" w14:textId="6F3F8415" w:rsidR="005E6DD1" w:rsidRPr="00182A40" w:rsidRDefault="000753DC" w:rsidP="005641F2">
      <w:pPr>
        <w:rPr>
          <w:lang w:val="fr-FR"/>
        </w:rPr>
      </w:pPr>
      <w:r w:rsidRPr="00182A40">
        <w:rPr>
          <w:b/>
          <w:lang w:val="fr-FR"/>
        </w:rPr>
        <w:t>2.1</w:t>
      </w:r>
      <w:r w:rsidR="002049F5" w:rsidRPr="00182A40">
        <w:rPr>
          <w:b/>
          <w:lang w:val="fr-FR"/>
        </w:rPr>
        <w:fldChar w:fldCharType="begin"/>
      </w:r>
      <w:r w:rsidR="002049F5" w:rsidRPr="00182A40">
        <w:rPr>
          <w:b/>
          <w:lang w:val="fr-FR"/>
        </w:rPr>
        <w:instrText xml:space="preserve"> SEQ TermsAndDefsLevel1 \n </w:instrText>
      </w:r>
      <w:r w:rsidR="002049F5" w:rsidRPr="00182A40">
        <w:rPr>
          <w:b/>
          <w:lang w:val="fr-FR"/>
        </w:rPr>
        <w:fldChar w:fldCharType="end"/>
      </w:r>
      <w:r w:rsidR="002049F5" w:rsidRPr="00182A40">
        <w:rPr>
          <w:b/>
          <w:lang w:val="fr-FR"/>
        </w:rPr>
        <w:br/>
      </w:r>
      <w:r w:rsidR="00872AA6" w:rsidRPr="00182A40">
        <w:rPr>
          <w:b/>
          <w:lang w:val="fr-FR"/>
        </w:rPr>
        <w:t>livrables de conformité</w:t>
      </w:r>
      <w:r w:rsidR="00872AA6" w:rsidRPr="00182A40">
        <w:rPr>
          <w:b/>
          <w:lang w:val="fr-FR"/>
        </w:rPr>
        <w:br/>
      </w:r>
      <w:r w:rsidR="00872AA6" w:rsidRPr="00182A40">
        <w:rPr>
          <w:lang w:val="fr-FR"/>
        </w:rPr>
        <w:t>un ensemble de livrables qui constituent la matérialisation du programme de conformité et qui accompagnent pour le logiciel fourni</w:t>
      </w:r>
    </w:p>
    <w:p w14:paraId="3D0F3212" w14:textId="0B291CC1" w:rsidR="00872AA6" w:rsidRPr="00182A40" w:rsidRDefault="008340D8" w:rsidP="005641F2">
      <w:pPr>
        <w:rPr>
          <w:lang w:val="fr-FR"/>
        </w:rPr>
      </w:pPr>
      <w:r w:rsidRPr="00182A40">
        <w:rPr>
          <w:lang w:val="fr-FR"/>
        </w:rPr>
        <w:t>Remarque : cet ensemble peut notamment comprendre : des notices d’attribution, du code source, des scripts de construction et d’installation, des copies des licences, des notices de droits d’auteur, des notifications de modifications, des offres écrites de mise à disposition, une liste des composants open source (BOM) et des documents SPDX.</w:t>
      </w:r>
    </w:p>
    <w:p w14:paraId="583F6C5F" w14:textId="4F2C8E64" w:rsidR="00872AA6" w:rsidRPr="00182A40" w:rsidRDefault="000753DC" w:rsidP="005641F2">
      <w:pPr>
        <w:rPr>
          <w:lang w:val="fr-FR"/>
        </w:rPr>
      </w:pPr>
      <w:bookmarkStart w:id="25" w:name="_Hlk11905840"/>
      <w:r w:rsidRPr="00182A40">
        <w:rPr>
          <w:b/>
          <w:lang w:val="fr-FR"/>
        </w:rPr>
        <w:t>2.2</w:t>
      </w:r>
      <w:r w:rsidR="002049F5" w:rsidRPr="00182A40">
        <w:rPr>
          <w:b/>
          <w:lang w:val="fr-FR"/>
        </w:rPr>
        <w:fldChar w:fldCharType="begin"/>
      </w:r>
      <w:r w:rsidR="002049F5" w:rsidRPr="00182A40">
        <w:rPr>
          <w:b/>
          <w:lang w:val="fr-FR"/>
        </w:rPr>
        <w:instrText xml:space="preserve"> SEQ TermsAndDefsLevel1 \n </w:instrText>
      </w:r>
      <w:r w:rsidR="002049F5" w:rsidRPr="00182A40">
        <w:rPr>
          <w:b/>
          <w:lang w:val="fr-FR"/>
        </w:rPr>
        <w:fldChar w:fldCharType="end"/>
      </w:r>
      <w:r w:rsidR="002049F5" w:rsidRPr="00182A40">
        <w:rPr>
          <w:b/>
          <w:lang w:val="fr-FR"/>
        </w:rPr>
        <w:br/>
      </w:r>
      <w:bookmarkEnd w:id="25"/>
      <w:r w:rsidR="00872AA6" w:rsidRPr="00182A40">
        <w:rPr>
          <w:b/>
          <w:lang w:val="fr-FR"/>
        </w:rPr>
        <w:t>licences identifiées</w:t>
      </w:r>
      <w:r w:rsidR="00872AA6" w:rsidRPr="00182A40">
        <w:rPr>
          <w:b/>
          <w:lang w:val="fr-FR"/>
        </w:rPr>
        <w:br/>
      </w:r>
      <w:r w:rsidR="00872AA6" w:rsidRPr="00182A40">
        <w:rPr>
          <w:lang w:val="fr-FR"/>
        </w:rPr>
        <w:t>un ensemble de licences open source identifiées grâce à une méthode pertinente pour identifier les composants open source intégrés au logiciel fourni</w:t>
      </w:r>
    </w:p>
    <w:p w14:paraId="290DC042" w14:textId="7B5F820B" w:rsidR="00872AA6" w:rsidRPr="00182A40" w:rsidRDefault="000753DC" w:rsidP="006337A7">
      <w:pPr>
        <w:rPr>
          <w:lang w:val="fr-FR"/>
        </w:rPr>
      </w:pPr>
      <w:r w:rsidRPr="00182A40">
        <w:rPr>
          <w:b/>
          <w:lang w:val="fr-FR"/>
        </w:rPr>
        <w:t>2.3</w:t>
      </w:r>
      <w:r w:rsidR="002049F5" w:rsidRPr="00182A40">
        <w:rPr>
          <w:b/>
          <w:lang w:val="fr-FR"/>
        </w:rPr>
        <w:fldChar w:fldCharType="begin"/>
      </w:r>
      <w:r w:rsidR="002049F5" w:rsidRPr="00182A40">
        <w:rPr>
          <w:b/>
          <w:lang w:val="fr-FR"/>
        </w:rPr>
        <w:instrText xml:space="preserve"> SEQ TermsAndDefsLevel1 \n </w:instrText>
      </w:r>
      <w:r w:rsidR="002049F5" w:rsidRPr="00182A40">
        <w:rPr>
          <w:b/>
          <w:lang w:val="fr-FR"/>
        </w:rPr>
        <w:fldChar w:fldCharType="end"/>
      </w:r>
      <w:r w:rsidR="002049F5" w:rsidRPr="00182A40">
        <w:rPr>
          <w:b/>
          <w:lang w:val="fr-FR"/>
        </w:rPr>
        <w:br/>
      </w:r>
      <w:r w:rsidR="00872AA6" w:rsidRPr="00182A40">
        <w:rPr>
          <w:b/>
          <w:lang w:val="fr-FR"/>
        </w:rPr>
        <w:t xml:space="preserve">conforme à </w:t>
      </w:r>
      <w:proofErr w:type="spellStart"/>
      <w:r w:rsidR="00872AA6" w:rsidRPr="00182A40">
        <w:rPr>
          <w:b/>
          <w:lang w:val="fr-FR"/>
        </w:rPr>
        <w:t>OpenChain</w:t>
      </w:r>
      <w:proofErr w:type="spellEnd"/>
      <w:r w:rsidR="00872AA6" w:rsidRPr="00182A40">
        <w:rPr>
          <w:b/>
          <w:lang w:val="fr-FR"/>
        </w:rPr>
        <w:br/>
      </w:r>
      <w:r w:rsidR="00872AA6" w:rsidRPr="00182A40">
        <w:rPr>
          <w:lang w:val="fr-FR"/>
        </w:rPr>
        <w:t>un programme qui satisfait toutes les exigences de cette spécification</w:t>
      </w:r>
    </w:p>
    <w:p w14:paraId="72650AFD" w14:textId="0F3BB172" w:rsidR="00872AA6" w:rsidRPr="00182A40" w:rsidRDefault="000753DC" w:rsidP="006337A7">
      <w:pPr>
        <w:rPr>
          <w:lang w:val="fr-FR"/>
        </w:rPr>
      </w:pPr>
      <w:r w:rsidRPr="00182A40">
        <w:rPr>
          <w:b/>
          <w:lang w:val="fr-FR"/>
        </w:rPr>
        <w:t>2.4</w:t>
      </w:r>
      <w:r w:rsidR="002049F5" w:rsidRPr="00182A40">
        <w:rPr>
          <w:b/>
          <w:lang w:val="fr-FR"/>
        </w:rPr>
        <w:fldChar w:fldCharType="begin"/>
      </w:r>
      <w:r w:rsidR="002049F5" w:rsidRPr="00182A40">
        <w:rPr>
          <w:b/>
          <w:lang w:val="fr-FR"/>
        </w:rPr>
        <w:instrText xml:space="preserve"> SEQ TermsAndDefsLevel1 \n </w:instrText>
      </w:r>
      <w:r w:rsidR="002049F5" w:rsidRPr="00182A40">
        <w:rPr>
          <w:b/>
          <w:lang w:val="fr-FR"/>
        </w:rPr>
        <w:fldChar w:fldCharType="end"/>
      </w:r>
      <w:r w:rsidR="002049F5" w:rsidRPr="00182A40">
        <w:rPr>
          <w:b/>
          <w:lang w:val="fr-FR"/>
        </w:rPr>
        <w:br/>
      </w:r>
      <w:r w:rsidR="00B432E9" w:rsidRPr="00182A40">
        <w:rPr>
          <w:b/>
          <w:lang w:val="fr-FR"/>
        </w:rPr>
        <w:t>open source</w:t>
      </w:r>
      <w:r w:rsidR="00872AA6" w:rsidRPr="00182A40">
        <w:rPr>
          <w:b/>
          <w:lang w:val="fr-FR"/>
        </w:rPr>
        <w:br/>
      </w:r>
      <w:r w:rsidR="00872AA6" w:rsidRPr="00182A40">
        <w:rPr>
          <w:lang w:val="fr-FR"/>
        </w:rPr>
        <w:t xml:space="preserve">qualifie un logiciel soumis à une ou plusieurs licences qui respectent l’Open Source </w:t>
      </w:r>
      <w:proofErr w:type="spellStart"/>
      <w:r w:rsidR="00872AA6" w:rsidRPr="00182A40">
        <w:rPr>
          <w:lang w:val="fr-FR"/>
        </w:rPr>
        <w:t>Definition</w:t>
      </w:r>
      <w:proofErr w:type="spellEnd"/>
      <w:r w:rsidR="00872AA6" w:rsidRPr="00182A40">
        <w:rPr>
          <w:lang w:val="fr-FR"/>
        </w:rPr>
        <w:t xml:space="preserve"> publiée par l’Open Source Initiative (</w:t>
      </w:r>
      <w:hyperlink r:id="rId15" w:history="1">
        <w:r w:rsidR="00872AA6" w:rsidRPr="00CC75E3">
          <w:rPr>
            <w:rStyle w:val="Hyperlink"/>
          </w:rPr>
          <w:t>opensource.org/</w:t>
        </w:r>
        <w:proofErr w:type="spellStart"/>
        <w:r w:rsidR="00872AA6" w:rsidRPr="00CC75E3">
          <w:rPr>
            <w:rStyle w:val="Hyperlink"/>
          </w:rPr>
          <w:t>osd</w:t>
        </w:r>
        <w:proofErr w:type="spellEnd"/>
      </w:hyperlink>
      <w:r w:rsidR="00872AA6" w:rsidRPr="00182A40">
        <w:rPr>
          <w:lang w:val="fr-FR"/>
        </w:rPr>
        <w:t xml:space="preserve">) ou la Free Software </w:t>
      </w:r>
      <w:proofErr w:type="spellStart"/>
      <w:r w:rsidR="00872AA6" w:rsidRPr="00182A40">
        <w:rPr>
          <w:lang w:val="fr-FR"/>
        </w:rPr>
        <w:t>Definition</w:t>
      </w:r>
      <w:proofErr w:type="spellEnd"/>
      <w:r w:rsidR="00872AA6" w:rsidRPr="00182A40">
        <w:rPr>
          <w:lang w:val="fr-FR"/>
        </w:rPr>
        <w:t xml:space="preserve"> publiée par la Free Software </w:t>
      </w:r>
      <w:proofErr w:type="spellStart"/>
      <w:r w:rsidR="00872AA6" w:rsidRPr="00182A40">
        <w:rPr>
          <w:lang w:val="fr-FR"/>
        </w:rPr>
        <w:t>Foundation</w:t>
      </w:r>
      <w:proofErr w:type="spellEnd"/>
      <w:r w:rsidR="00872AA6" w:rsidRPr="00182A40">
        <w:rPr>
          <w:lang w:val="fr-FR"/>
        </w:rPr>
        <w:t xml:space="preserve"> (</w:t>
      </w:r>
      <w:hyperlink r:id="rId16" w:history="1">
        <w:r w:rsidR="00872AA6" w:rsidRPr="00CC75E3">
          <w:rPr>
            <w:rStyle w:val="Hyperlink"/>
          </w:rPr>
          <w:t>gnu.org/</w:t>
        </w:r>
        <w:proofErr w:type="spellStart"/>
        <w:r w:rsidR="00872AA6" w:rsidRPr="00CC75E3">
          <w:rPr>
            <w:rStyle w:val="Hyperlink"/>
          </w:rPr>
          <w:t>philosophy</w:t>
        </w:r>
        <w:proofErr w:type="spellEnd"/>
        <w:r w:rsidR="00872AA6" w:rsidRPr="00CC75E3">
          <w:rPr>
            <w:rStyle w:val="Hyperlink"/>
          </w:rPr>
          <w:t>/free-sw.html</w:t>
        </w:r>
      </w:hyperlink>
      <w:r w:rsidR="00872AA6" w:rsidRPr="00182A40">
        <w:rPr>
          <w:lang w:val="fr-FR"/>
        </w:rPr>
        <w:t>) ou une licence similaire</w:t>
      </w:r>
      <w:hyperlink r:id="rId17" w:history="1"/>
      <w:hyperlink r:id="rId18" w:history="1"/>
    </w:p>
    <w:p w14:paraId="6699592E" w14:textId="339F5DA4" w:rsidR="00872AA6" w:rsidRPr="00182A40" w:rsidRDefault="000753DC" w:rsidP="006337A7">
      <w:pPr>
        <w:rPr>
          <w:b/>
          <w:lang w:val="fr-FR"/>
        </w:rPr>
      </w:pPr>
      <w:r w:rsidRPr="00182A40">
        <w:rPr>
          <w:b/>
          <w:lang w:val="fr-FR"/>
        </w:rPr>
        <w:t>2.5</w:t>
      </w:r>
      <w:r w:rsidR="002049F5" w:rsidRPr="00182A40">
        <w:rPr>
          <w:b/>
          <w:lang w:val="fr-FR"/>
        </w:rPr>
        <w:fldChar w:fldCharType="begin"/>
      </w:r>
      <w:r w:rsidR="002049F5" w:rsidRPr="00182A40">
        <w:rPr>
          <w:b/>
          <w:lang w:val="fr-FR"/>
        </w:rPr>
        <w:instrText xml:space="preserve"> SEQ TermsAndDefsLevel1 \n </w:instrText>
      </w:r>
      <w:r w:rsidR="002049F5" w:rsidRPr="00182A40">
        <w:rPr>
          <w:b/>
          <w:lang w:val="fr-FR"/>
        </w:rPr>
        <w:fldChar w:fldCharType="end"/>
      </w:r>
      <w:r w:rsidR="002049F5" w:rsidRPr="00182A40">
        <w:rPr>
          <w:b/>
          <w:lang w:val="fr-FR"/>
        </w:rPr>
        <w:br/>
        <w:t>programme</w:t>
      </w:r>
      <w:r w:rsidR="0048006F" w:rsidRPr="00182A40">
        <w:rPr>
          <w:b/>
          <w:lang w:val="fr-FR"/>
        </w:rPr>
        <w:br/>
      </w:r>
      <w:r w:rsidR="00872AA6" w:rsidRPr="00182A40">
        <w:rPr>
          <w:lang w:val="fr-FR"/>
        </w:rPr>
        <w:t>l’ensemble de politiques, de processus et d’acteurs qui constituent les activités de conformité aux licences open source au sein d’une organisation</w:t>
      </w:r>
    </w:p>
    <w:p w14:paraId="477A2896" w14:textId="5E704B2B" w:rsidR="00551794" w:rsidRPr="00182A40" w:rsidRDefault="000753DC" w:rsidP="00952169">
      <w:pPr>
        <w:spacing w:after="100" w:afterAutospacing="1"/>
        <w:rPr>
          <w:lang w:val="fr-FR"/>
        </w:rPr>
      </w:pPr>
      <w:r w:rsidRPr="00182A40">
        <w:rPr>
          <w:b/>
          <w:lang w:val="fr-FR"/>
        </w:rPr>
        <w:t>2.6</w:t>
      </w:r>
      <w:r w:rsidR="002049F5" w:rsidRPr="00182A40">
        <w:rPr>
          <w:b/>
          <w:lang w:val="fr-FR"/>
        </w:rPr>
        <w:fldChar w:fldCharType="begin"/>
      </w:r>
      <w:r w:rsidR="002049F5" w:rsidRPr="00182A40">
        <w:rPr>
          <w:b/>
          <w:lang w:val="fr-FR"/>
        </w:rPr>
        <w:instrText xml:space="preserve"> SEQ TermsAndDefsLevel1 \n </w:instrText>
      </w:r>
      <w:r w:rsidR="002049F5" w:rsidRPr="00182A40">
        <w:rPr>
          <w:b/>
          <w:lang w:val="fr-FR"/>
        </w:rPr>
        <w:fldChar w:fldCharType="end"/>
      </w:r>
      <w:r w:rsidR="002049F5" w:rsidRPr="00182A40">
        <w:rPr>
          <w:b/>
          <w:lang w:val="fr-FR"/>
        </w:rPr>
        <w:br/>
      </w:r>
      <w:r w:rsidR="00564080" w:rsidRPr="00182A40">
        <w:rPr>
          <w:b/>
          <w:lang w:val="fr-FR"/>
        </w:rPr>
        <w:t>participants au programme</w:t>
      </w:r>
      <w:r w:rsidR="0048006F" w:rsidRPr="00182A40">
        <w:rPr>
          <w:b/>
          <w:lang w:val="fr-FR"/>
        </w:rPr>
        <w:br/>
      </w:r>
      <w:r w:rsidR="00872AA6" w:rsidRPr="00182A40">
        <w:rPr>
          <w:lang w:val="fr-FR"/>
        </w:rPr>
        <w:t>tout employé ou consultant qui définit, contribue à, ou est responsable de préparer, le logiciel fourni</w:t>
      </w:r>
    </w:p>
    <w:p w14:paraId="0EE25444" w14:textId="707627D3" w:rsidR="00872AA6" w:rsidRPr="00182A40" w:rsidRDefault="00551794" w:rsidP="006337A7">
      <w:pPr>
        <w:rPr>
          <w:lang w:val="fr-FR"/>
        </w:rPr>
      </w:pPr>
      <w:r w:rsidRPr="00182A40">
        <w:rPr>
          <w:lang w:val="fr-FR"/>
        </w:rPr>
        <w:t>Remarque : en fonction des organisations, ceci peut notamment inclure les développeurs de logiciels, les gestionnaires de version, les ingénieurs qualité, les responsables marketing et les chefs de produit.</w:t>
      </w:r>
    </w:p>
    <w:p w14:paraId="1035D729" w14:textId="77777777" w:rsidR="004E4F09" w:rsidRPr="00182A40" w:rsidRDefault="004E4F09" w:rsidP="006337A7">
      <w:pPr>
        <w:rPr>
          <w:b/>
          <w:lang w:val="fr-FR"/>
        </w:rPr>
      </w:pPr>
    </w:p>
    <w:p w14:paraId="78B0878A" w14:textId="426A5579" w:rsidR="00483B6D" w:rsidRPr="00182A40" w:rsidRDefault="001D2901" w:rsidP="006337A7">
      <w:pPr>
        <w:rPr>
          <w:lang w:val="fr-FR"/>
        </w:rPr>
      </w:pPr>
      <w:r w:rsidRPr="00182A40">
        <w:rPr>
          <w:b/>
          <w:lang w:val="fr-FR"/>
        </w:rPr>
        <w:lastRenderedPageBreak/>
        <w:t>2.7</w:t>
      </w:r>
      <w:r w:rsidR="002049F5" w:rsidRPr="00182A40">
        <w:rPr>
          <w:b/>
          <w:lang w:val="fr-FR"/>
        </w:rPr>
        <w:fldChar w:fldCharType="begin"/>
      </w:r>
      <w:r w:rsidR="002049F5" w:rsidRPr="00182A40">
        <w:rPr>
          <w:b/>
          <w:lang w:val="fr-FR"/>
        </w:rPr>
        <w:instrText xml:space="preserve"> SEQ TermsAndDefsLevel1 \n </w:instrText>
      </w:r>
      <w:r w:rsidR="002049F5" w:rsidRPr="00182A40">
        <w:rPr>
          <w:b/>
          <w:lang w:val="fr-FR"/>
        </w:rPr>
        <w:fldChar w:fldCharType="end"/>
      </w:r>
      <w:r w:rsidR="002049F5" w:rsidRPr="00182A40">
        <w:rPr>
          <w:b/>
          <w:lang w:val="fr-FR"/>
        </w:rPr>
        <w:br/>
      </w:r>
      <w:r w:rsidR="00872AA6" w:rsidRPr="00182A40">
        <w:rPr>
          <w:b/>
          <w:lang w:val="fr-FR"/>
        </w:rPr>
        <w:t>SPDX</w:t>
      </w:r>
      <w:r w:rsidR="00483B6D" w:rsidRPr="00182A40">
        <w:rPr>
          <w:b/>
          <w:lang w:val="fr-FR"/>
        </w:rPr>
        <w:br/>
      </w:r>
      <w:r w:rsidR="00872AA6" w:rsidRPr="00182A40">
        <w:rPr>
          <w:lang w:val="fr-FR"/>
        </w:rPr>
        <w:t xml:space="preserve">le format standard créé par le groupe de travail SPDX (Software Package Data Exchange) de la Linux </w:t>
      </w:r>
      <w:proofErr w:type="spellStart"/>
      <w:r w:rsidR="00872AA6" w:rsidRPr="00182A40">
        <w:rPr>
          <w:lang w:val="fr-FR"/>
        </w:rPr>
        <w:t>Foundation</w:t>
      </w:r>
      <w:proofErr w:type="spellEnd"/>
      <w:r w:rsidR="00872AA6" w:rsidRPr="00182A40">
        <w:rPr>
          <w:lang w:val="fr-FR"/>
        </w:rPr>
        <w:t xml:space="preserve"> pour l’échange de listes de composants pour un paquet logiciel donné, y compris les informations relatives aux licences et aux droits d’auteur</w:t>
      </w:r>
      <w:hyperlink r:id="rId19" w:history="1"/>
    </w:p>
    <w:p w14:paraId="65F0A850" w14:textId="045DD8C1" w:rsidR="00872AA6" w:rsidRPr="00182A40" w:rsidRDefault="000753DC" w:rsidP="00872AA6">
      <w:pPr>
        <w:rPr>
          <w:lang w:val="fr-FR"/>
        </w:rPr>
      </w:pPr>
      <w:r w:rsidRPr="00182A40">
        <w:rPr>
          <w:b/>
          <w:lang w:val="fr-FR"/>
        </w:rPr>
        <w:t>2.8</w:t>
      </w:r>
      <w:r w:rsidR="002049F5" w:rsidRPr="00182A40">
        <w:rPr>
          <w:b/>
          <w:lang w:val="fr-FR"/>
        </w:rPr>
        <w:fldChar w:fldCharType="begin"/>
      </w:r>
      <w:r w:rsidR="002049F5" w:rsidRPr="00182A40">
        <w:rPr>
          <w:b/>
          <w:lang w:val="fr-FR"/>
        </w:rPr>
        <w:instrText xml:space="preserve"> SEQ TermsAndDefsLevel1 \n </w:instrText>
      </w:r>
      <w:r w:rsidR="002049F5" w:rsidRPr="00182A40">
        <w:rPr>
          <w:b/>
          <w:lang w:val="fr-FR"/>
        </w:rPr>
        <w:fldChar w:fldCharType="end"/>
      </w:r>
      <w:r w:rsidR="002049F5" w:rsidRPr="00182A40">
        <w:rPr>
          <w:b/>
          <w:lang w:val="fr-FR"/>
        </w:rPr>
        <w:br/>
      </w:r>
      <w:r w:rsidR="00370B71" w:rsidRPr="00182A40">
        <w:rPr>
          <w:b/>
          <w:lang w:val="fr-FR"/>
        </w:rPr>
        <w:t>logiciel fourni</w:t>
      </w:r>
      <w:r w:rsidR="00370B71" w:rsidRPr="00182A40">
        <w:rPr>
          <w:b/>
          <w:lang w:val="fr-FR"/>
        </w:rPr>
        <w:br/>
      </w:r>
      <w:r w:rsidR="00872AA6" w:rsidRPr="00182A40">
        <w:rPr>
          <w:lang w:val="fr-FR"/>
        </w:rPr>
        <w:t>logiciel qu’une organisation fournit à une tierce partie (personne morale ou physique)</w:t>
      </w:r>
    </w:p>
    <w:p w14:paraId="5C75EDF6" w14:textId="1F5116C4" w:rsidR="00872AA6" w:rsidRPr="00182A40" w:rsidRDefault="000753DC" w:rsidP="006337A7">
      <w:pPr>
        <w:rPr>
          <w:lang w:val="fr-FR"/>
        </w:rPr>
      </w:pPr>
      <w:r w:rsidRPr="00182A40">
        <w:rPr>
          <w:b/>
          <w:lang w:val="fr-FR"/>
        </w:rPr>
        <w:t>2.9</w:t>
      </w:r>
      <w:r w:rsidR="002049F5" w:rsidRPr="00182A40">
        <w:rPr>
          <w:b/>
          <w:lang w:val="fr-FR"/>
        </w:rPr>
        <w:fldChar w:fldCharType="begin"/>
      </w:r>
      <w:r w:rsidR="002049F5" w:rsidRPr="00182A40">
        <w:rPr>
          <w:b/>
          <w:lang w:val="fr-FR"/>
        </w:rPr>
        <w:instrText xml:space="preserve"> SEQ TermsAndDefsLevel1 \n </w:instrText>
      </w:r>
      <w:r w:rsidR="002049F5" w:rsidRPr="00182A40">
        <w:rPr>
          <w:b/>
          <w:lang w:val="fr-FR"/>
        </w:rPr>
        <w:fldChar w:fldCharType="end"/>
      </w:r>
      <w:r w:rsidR="002049F5" w:rsidRPr="00182A40">
        <w:rPr>
          <w:b/>
          <w:lang w:val="fr-FR"/>
        </w:rPr>
        <w:br/>
      </w:r>
      <w:r w:rsidR="00370B71" w:rsidRPr="00182A40">
        <w:rPr>
          <w:b/>
          <w:lang w:val="fr-FR"/>
        </w:rPr>
        <w:t>éléments de vérification</w:t>
      </w:r>
      <w:r w:rsidR="00370B71" w:rsidRPr="00182A40">
        <w:rPr>
          <w:b/>
          <w:lang w:val="fr-FR"/>
        </w:rPr>
        <w:br/>
      </w:r>
      <w:r w:rsidR="00872AA6" w:rsidRPr="00182A40">
        <w:rPr>
          <w:lang w:val="fr-FR"/>
        </w:rPr>
        <w:t>éléments qui démontrent qu’une exigence de la spécification est satisfaite</w:t>
      </w:r>
    </w:p>
    <w:p w14:paraId="7E6F9DA4" w14:textId="77777777" w:rsidR="00EE1297" w:rsidRPr="00182A40" w:rsidRDefault="00EE1297" w:rsidP="006337A7">
      <w:pPr>
        <w:keepNext/>
        <w:spacing w:after="100" w:afterAutospacing="1"/>
        <w:rPr>
          <w:lang w:val="fr-FR"/>
        </w:rPr>
      </w:pPr>
      <w:r w:rsidRPr="00182A40">
        <w:rPr>
          <w:lang w:val="fr-FR"/>
        </w:rPr>
        <w:t>L’ISO et la CEI tiennent à jour des bases de données terminologiques destinées à la normalisation aux adresses suivantes :</w:t>
      </w:r>
    </w:p>
    <w:p w14:paraId="1AFF9524" w14:textId="53A6B0A3" w:rsidR="00EE1297" w:rsidRPr="00182A40" w:rsidRDefault="00EE1297" w:rsidP="006337A7">
      <w:pPr>
        <w:spacing w:after="100" w:afterAutospacing="1"/>
        <w:ind w:left="403" w:hanging="403"/>
        <w:rPr>
          <w:lang w:val="fr-FR"/>
        </w:rPr>
      </w:pPr>
      <w:r w:rsidRPr="00182A40">
        <w:rPr>
          <w:lang w:val="fr-FR"/>
        </w:rPr>
        <w:t>—</w:t>
      </w:r>
      <w:r w:rsidRPr="00182A40">
        <w:rPr>
          <w:lang w:val="fr-FR"/>
        </w:rPr>
        <w:tab/>
        <w:t xml:space="preserve">Plate-forme de navigation en ligne de l’ISO : </w:t>
      </w:r>
      <w:hyperlink r:id="rId20" w:history="1">
        <w:r w:rsidRPr="00CC75E3">
          <w:rPr>
            <w:rStyle w:val="Hyperlink"/>
          </w:rPr>
          <w:t>https://www.iso.org/obp</w:t>
        </w:r>
      </w:hyperlink>
      <w:hyperlink r:id="rId21" w:history="1"/>
    </w:p>
    <w:p w14:paraId="7CA2B366" w14:textId="2E44FFAF" w:rsidR="00EE1297" w:rsidRPr="00CF397D" w:rsidRDefault="00EE1297" w:rsidP="004E4F09">
      <w:pPr>
        <w:keepNext/>
        <w:spacing w:after="100" w:afterAutospacing="1"/>
        <w:ind w:left="403" w:hanging="403"/>
        <w:rPr>
          <w:lang w:val="en-US"/>
        </w:rPr>
      </w:pPr>
      <w:r w:rsidRPr="00CF397D">
        <w:rPr>
          <w:lang w:val="en-US"/>
        </w:rPr>
        <w:t>—</w:t>
      </w:r>
      <w:r w:rsidRPr="00CF397D">
        <w:rPr>
          <w:lang w:val="en-US"/>
        </w:rPr>
        <w:tab/>
        <w:t xml:space="preserve">IEC </w:t>
      </w:r>
      <w:proofErr w:type="spellStart"/>
      <w:proofErr w:type="gramStart"/>
      <w:r w:rsidRPr="00CF397D">
        <w:rPr>
          <w:lang w:val="en-US"/>
        </w:rPr>
        <w:t>Electropedia</w:t>
      </w:r>
      <w:proofErr w:type="spellEnd"/>
      <w:r w:rsidRPr="00CF397D">
        <w:rPr>
          <w:lang w:val="en-US"/>
        </w:rPr>
        <w:t> :</w:t>
      </w:r>
      <w:proofErr w:type="gramEnd"/>
      <w:r w:rsidRPr="00CF397D">
        <w:rPr>
          <w:lang w:val="en-US"/>
        </w:rPr>
        <w:t xml:space="preserve"> </w:t>
      </w:r>
      <w:hyperlink r:id="rId22" w:history="1">
        <w:r w:rsidRPr="00CF397D">
          <w:rPr>
            <w:rStyle w:val="Hyperlink"/>
            <w:lang w:val="en-US"/>
          </w:rPr>
          <w:t>http://www.electropedia.org/</w:t>
        </w:r>
      </w:hyperlink>
      <w:hyperlink r:id="rId23" w:history="1"/>
    </w:p>
    <w:p w14:paraId="2D4F58BB" w14:textId="4C1641E4" w:rsidR="007F7ABD" w:rsidRPr="00182A40" w:rsidRDefault="007F7ABD" w:rsidP="007F7ABD">
      <w:pPr>
        <w:pStyle w:val="Heading1"/>
        <w:rPr>
          <w:lang w:val="fr-FR"/>
        </w:rPr>
      </w:pPr>
      <w:bookmarkStart w:id="26" w:name="_Toc57210367"/>
      <w:bookmarkStart w:id="27" w:name="_Toc5785628"/>
      <w:bookmarkStart w:id="28" w:name="_Ref11920810"/>
      <w:r w:rsidRPr="00182A40">
        <w:rPr>
          <w:lang w:val="fr-FR"/>
        </w:rPr>
        <w:t>Exigences</w:t>
      </w:r>
      <w:bookmarkEnd w:id="26"/>
    </w:p>
    <w:p w14:paraId="503CF063" w14:textId="1FCB15C6" w:rsidR="00EA1837" w:rsidRPr="00182A40" w:rsidRDefault="00FB5FAB" w:rsidP="001B76B6">
      <w:pPr>
        <w:pStyle w:val="Heading2"/>
        <w:rPr>
          <w:lang w:val="fr-FR"/>
        </w:rPr>
      </w:pPr>
      <w:r w:rsidRPr="00182A40">
        <w:rPr>
          <w:lang w:val="fr-FR"/>
        </w:rPr>
        <w:t xml:space="preserve"> </w:t>
      </w:r>
      <w:bookmarkStart w:id="29" w:name="_Toc57210368"/>
      <w:r w:rsidR="00EA1837" w:rsidRPr="00182A40">
        <w:rPr>
          <w:lang w:val="fr-FR"/>
        </w:rPr>
        <w:t>Fondamentaux du programme</w:t>
      </w:r>
      <w:bookmarkEnd w:id="27"/>
      <w:bookmarkEnd w:id="28"/>
      <w:bookmarkEnd w:id="29"/>
    </w:p>
    <w:p w14:paraId="4CDEF096" w14:textId="0FDB8674" w:rsidR="00EA1837" w:rsidRPr="00182A40" w:rsidRDefault="00EA1837" w:rsidP="002651C0">
      <w:pPr>
        <w:pStyle w:val="Heading3"/>
        <w:spacing w:after="100" w:afterAutospacing="1"/>
        <w:rPr>
          <w:lang w:val="fr-FR"/>
        </w:rPr>
      </w:pPr>
      <w:bookmarkStart w:id="30" w:name="_Toc57210369"/>
      <w:r w:rsidRPr="00182A40">
        <w:rPr>
          <w:lang w:val="fr-FR"/>
        </w:rPr>
        <w:t>Politique open source</w:t>
      </w:r>
      <w:bookmarkEnd w:id="30"/>
    </w:p>
    <w:p w14:paraId="1FC0968B" w14:textId="467D39F6" w:rsidR="00EA1837" w:rsidRPr="00182A40" w:rsidRDefault="00EA1837" w:rsidP="005641F2">
      <w:pPr>
        <w:rPr>
          <w:lang w:val="fr-FR"/>
        </w:rPr>
      </w:pPr>
      <w:r w:rsidRPr="00182A40">
        <w:rPr>
          <w:lang w:val="fr-FR"/>
        </w:rPr>
        <w:t>Il doit exister une politique formelle qui régit la conformité aux licences open source contenues dans les logiciels fournis. Cette politique doit être communiquée en interne.</w:t>
      </w:r>
    </w:p>
    <w:p w14:paraId="76F0B80A" w14:textId="6673387D" w:rsidR="00EA1837" w:rsidRPr="00182A40" w:rsidRDefault="00EA1837" w:rsidP="00952169">
      <w:pPr>
        <w:keepNext/>
        <w:keepLines/>
        <w:spacing w:after="100" w:afterAutospacing="1"/>
        <w:rPr>
          <w:b/>
          <w:bCs/>
          <w:lang w:val="fr-FR"/>
        </w:rPr>
      </w:pPr>
      <w:r w:rsidRPr="00182A40">
        <w:rPr>
          <w:b/>
          <w:bCs/>
          <w:lang w:val="fr-FR"/>
        </w:rPr>
        <w:t>Élément(s) de vérification :</w:t>
      </w:r>
    </w:p>
    <w:p w14:paraId="479F8329" w14:textId="0074F387" w:rsidR="00557589" w:rsidRPr="00182A40" w:rsidRDefault="000753DC" w:rsidP="005641F2">
      <w:pPr>
        <w:pStyle w:val="ListParagraph"/>
        <w:numPr>
          <w:ilvl w:val="0"/>
          <w:numId w:val="20"/>
        </w:numPr>
        <w:spacing w:after="100" w:afterAutospacing="1"/>
        <w:jc w:val="left"/>
        <w:rPr>
          <w:lang w:val="fr-FR"/>
        </w:rPr>
      </w:pPr>
      <w:r w:rsidRPr="00182A40">
        <w:rPr>
          <w:rFonts w:ascii="Cambria" w:hAnsi="Cambria"/>
          <w:lang w:val="fr-FR"/>
        </w:rPr>
        <w:t>3.1.1.1 Une politique open source documentée.</w:t>
      </w:r>
    </w:p>
    <w:p w14:paraId="798AF9D4" w14:textId="6F7D10EA" w:rsidR="00EA1837" w:rsidRPr="00182A40" w:rsidRDefault="000753DC" w:rsidP="004126AF">
      <w:pPr>
        <w:pStyle w:val="ListParagraph"/>
        <w:numPr>
          <w:ilvl w:val="0"/>
          <w:numId w:val="20"/>
        </w:numPr>
        <w:spacing w:after="240" w:line="240" w:lineRule="atLeast"/>
        <w:jc w:val="left"/>
        <w:rPr>
          <w:rFonts w:ascii="Cambria" w:hAnsi="Cambria"/>
          <w:lang w:val="fr-FR"/>
        </w:rPr>
      </w:pPr>
      <w:r w:rsidRPr="00182A40">
        <w:rPr>
          <w:rFonts w:ascii="Cambria" w:hAnsi="Cambria"/>
          <w:lang w:val="fr-FR"/>
        </w:rPr>
        <w:t>3.1.1.2 Une procédure documentée qui informe les participants au programme de l’existence de la politique open source (par des formations, un wiki interne ou tout autre moyen de communication).</w:t>
      </w:r>
    </w:p>
    <w:p w14:paraId="7046D41E" w14:textId="77777777" w:rsidR="00EA1837" w:rsidRPr="00182A40" w:rsidRDefault="00EA1837" w:rsidP="004126AF">
      <w:pPr>
        <w:keepNext/>
        <w:keepLines/>
        <w:spacing w:after="100" w:afterAutospacing="1"/>
        <w:rPr>
          <w:b/>
          <w:bCs/>
          <w:lang w:val="fr-FR"/>
        </w:rPr>
      </w:pPr>
      <w:r w:rsidRPr="00182A40">
        <w:rPr>
          <w:b/>
          <w:bCs/>
          <w:lang w:val="fr-FR"/>
        </w:rPr>
        <w:t>Raison :</w:t>
      </w:r>
    </w:p>
    <w:p w14:paraId="684477A2" w14:textId="6AB98C80" w:rsidR="00EA1837" w:rsidRPr="00182A40" w:rsidRDefault="00EA1837" w:rsidP="004126AF">
      <w:pPr>
        <w:spacing w:after="100" w:afterAutospacing="1"/>
        <w:rPr>
          <w:lang w:val="fr-FR"/>
        </w:rPr>
      </w:pPr>
      <w:r w:rsidRPr="00182A40">
        <w:rPr>
          <w:lang w:val="fr-FR"/>
        </w:rPr>
        <w:t>S’assurer que des mesures ont été prises pour que les participants au programme soient informés de l’existence d'une politique open source. Bien qu’aucune exigence ne définisse ici les aspects à inclure dans cette politique, d’autres sections peuvent définir des exigences sur son contenu.</w:t>
      </w:r>
    </w:p>
    <w:p w14:paraId="104EFFDF" w14:textId="7261AAA5" w:rsidR="00EA1837" w:rsidRPr="00182A40" w:rsidRDefault="00EA1837" w:rsidP="00F378E6">
      <w:pPr>
        <w:pStyle w:val="Heading3"/>
        <w:tabs>
          <w:tab w:val="clear" w:pos="810"/>
          <w:tab w:val="num" w:pos="720"/>
        </w:tabs>
        <w:rPr>
          <w:lang w:val="fr-FR"/>
        </w:rPr>
      </w:pPr>
      <w:bookmarkStart w:id="31" w:name="_Toc57210370"/>
      <w:r w:rsidRPr="00182A40">
        <w:rPr>
          <w:lang w:val="fr-FR"/>
        </w:rPr>
        <w:t>Compétences</w:t>
      </w:r>
      <w:bookmarkEnd w:id="31"/>
    </w:p>
    <w:p w14:paraId="41BAB5E0" w14:textId="0F6C6E9E" w:rsidR="00EA1837" w:rsidRPr="00182A40" w:rsidRDefault="00EA1837" w:rsidP="004126AF">
      <w:pPr>
        <w:keepNext/>
        <w:keepLines/>
        <w:spacing w:after="100" w:afterAutospacing="1"/>
        <w:rPr>
          <w:lang w:val="fr-FR"/>
        </w:rPr>
      </w:pPr>
      <w:r w:rsidRPr="00182A40">
        <w:rPr>
          <w:lang w:val="fr-FR"/>
        </w:rPr>
        <w:t xml:space="preserve">L’organisation doit </w:t>
      </w:r>
    </w:p>
    <w:p w14:paraId="32E01E21" w14:textId="0FD83C87" w:rsidR="00EA1837" w:rsidRPr="00182A40" w:rsidRDefault="00EA1837" w:rsidP="004126AF">
      <w:pPr>
        <w:pStyle w:val="ListParagraph"/>
        <w:numPr>
          <w:ilvl w:val="0"/>
          <w:numId w:val="17"/>
        </w:numPr>
        <w:spacing w:after="100" w:afterAutospacing="1"/>
        <w:jc w:val="left"/>
        <w:rPr>
          <w:rFonts w:ascii="Cambria" w:hAnsi="Cambria"/>
          <w:lang w:val="fr-FR"/>
        </w:rPr>
      </w:pPr>
      <w:r w:rsidRPr="00182A40">
        <w:rPr>
          <w:rFonts w:ascii="Cambria" w:hAnsi="Cambria"/>
          <w:lang w:val="fr-FR"/>
        </w:rPr>
        <w:t xml:space="preserve">Déterminer les rôles et les responsabilités associées qui garantissent </w:t>
      </w:r>
      <w:r w:rsidR="00CF397D">
        <w:rPr>
          <w:rFonts w:ascii="Cambria" w:hAnsi="Cambria"/>
          <w:lang w:val="fr-FR"/>
        </w:rPr>
        <w:t xml:space="preserve">la performance et </w:t>
      </w:r>
      <w:r w:rsidRPr="00182A40">
        <w:rPr>
          <w:rFonts w:ascii="Cambria" w:hAnsi="Cambria"/>
          <w:lang w:val="fr-FR"/>
        </w:rPr>
        <w:t>l’efficacité du programme ;</w:t>
      </w:r>
    </w:p>
    <w:p w14:paraId="5AF0A3F7" w14:textId="6B500861" w:rsidR="00EA1837" w:rsidRPr="00182A40" w:rsidRDefault="00EA1837" w:rsidP="00557589">
      <w:pPr>
        <w:pStyle w:val="ListParagraph"/>
        <w:numPr>
          <w:ilvl w:val="0"/>
          <w:numId w:val="17"/>
        </w:numPr>
        <w:jc w:val="left"/>
        <w:rPr>
          <w:rFonts w:ascii="Cambria" w:hAnsi="Cambria"/>
          <w:lang w:val="fr-FR"/>
        </w:rPr>
      </w:pPr>
      <w:r w:rsidRPr="00182A40">
        <w:rPr>
          <w:rFonts w:ascii="Cambria" w:hAnsi="Cambria"/>
          <w:lang w:val="fr-FR"/>
        </w:rPr>
        <w:t>Déterminer les compétences nécessaires des participants au programme qui remplissent les différents rôles</w:t>
      </w:r>
    </w:p>
    <w:p w14:paraId="5CCF1B9C" w14:textId="785E5112" w:rsidR="00EA1837" w:rsidRPr="00182A40" w:rsidRDefault="00EA1837" w:rsidP="00557589">
      <w:pPr>
        <w:pStyle w:val="ListParagraph"/>
        <w:numPr>
          <w:ilvl w:val="0"/>
          <w:numId w:val="17"/>
        </w:numPr>
        <w:jc w:val="left"/>
        <w:rPr>
          <w:rFonts w:ascii="Cambria" w:hAnsi="Cambria"/>
          <w:lang w:val="fr-FR"/>
        </w:rPr>
      </w:pPr>
      <w:r w:rsidRPr="00182A40">
        <w:rPr>
          <w:rFonts w:ascii="Cambria" w:hAnsi="Cambria"/>
          <w:lang w:val="fr-FR"/>
        </w:rPr>
        <w:t>S’assurer que les participants au programme sont compétents au regard de leur parcours académique, des formations suivies ou de leur expérience professionnelle ;</w:t>
      </w:r>
    </w:p>
    <w:p w14:paraId="10632A8F" w14:textId="77777777" w:rsidR="00EA1837" w:rsidRPr="00182A40" w:rsidRDefault="00EA1837" w:rsidP="00557589">
      <w:pPr>
        <w:pStyle w:val="ListParagraph"/>
        <w:numPr>
          <w:ilvl w:val="0"/>
          <w:numId w:val="17"/>
        </w:numPr>
        <w:jc w:val="left"/>
        <w:rPr>
          <w:rFonts w:ascii="Cambria" w:hAnsi="Cambria"/>
          <w:lang w:val="fr-FR"/>
        </w:rPr>
      </w:pPr>
      <w:r w:rsidRPr="00182A40">
        <w:rPr>
          <w:rFonts w:ascii="Cambria" w:hAnsi="Cambria"/>
          <w:lang w:val="fr-FR"/>
        </w:rPr>
        <w:t>Le cas échéant, prendre des mesures pour acquérir les compétences nécessaires ; et</w:t>
      </w:r>
    </w:p>
    <w:p w14:paraId="47645F3B" w14:textId="77777777" w:rsidR="00EA1837" w:rsidRPr="00182A40" w:rsidRDefault="00EA1837" w:rsidP="005641F2">
      <w:pPr>
        <w:pStyle w:val="ListParagraph"/>
        <w:numPr>
          <w:ilvl w:val="0"/>
          <w:numId w:val="17"/>
        </w:numPr>
        <w:spacing w:after="240" w:line="240" w:lineRule="atLeast"/>
        <w:jc w:val="left"/>
        <w:rPr>
          <w:rFonts w:ascii="Cambria" w:hAnsi="Cambria"/>
          <w:lang w:val="fr-FR"/>
        </w:rPr>
      </w:pPr>
      <w:r w:rsidRPr="00182A40">
        <w:rPr>
          <w:rFonts w:ascii="Cambria" w:hAnsi="Cambria"/>
          <w:lang w:val="fr-FR"/>
        </w:rPr>
        <w:t>Conserver les documents nécessaires pour fournir la preuve de ces compétences.</w:t>
      </w:r>
    </w:p>
    <w:p w14:paraId="30F9EC94" w14:textId="73564A0D" w:rsidR="00EA1837" w:rsidRPr="00182A40" w:rsidRDefault="00EA1837" w:rsidP="005641F2">
      <w:pPr>
        <w:keepNext/>
        <w:keepLines/>
        <w:spacing w:after="100" w:afterAutospacing="1"/>
        <w:rPr>
          <w:b/>
          <w:bCs/>
          <w:lang w:val="fr-FR"/>
        </w:rPr>
      </w:pPr>
      <w:r w:rsidRPr="00182A40">
        <w:rPr>
          <w:b/>
          <w:bCs/>
          <w:lang w:val="fr-FR"/>
        </w:rPr>
        <w:lastRenderedPageBreak/>
        <w:t>Élément(s) de vérification :</w:t>
      </w:r>
    </w:p>
    <w:p w14:paraId="7EF5C972" w14:textId="5A2C1AE9" w:rsidR="00EA1837" w:rsidRPr="00182A40" w:rsidRDefault="000753DC" w:rsidP="005641F2">
      <w:pPr>
        <w:pStyle w:val="ListParagraph"/>
        <w:numPr>
          <w:ilvl w:val="0"/>
          <w:numId w:val="21"/>
        </w:numPr>
        <w:spacing w:after="100" w:afterAutospacing="1"/>
        <w:jc w:val="left"/>
        <w:rPr>
          <w:rFonts w:ascii="Cambria" w:hAnsi="Cambria"/>
          <w:lang w:val="fr-FR"/>
        </w:rPr>
      </w:pPr>
      <w:r w:rsidRPr="00182A40">
        <w:rPr>
          <w:rFonts w:ascii="Cambria" w:hAnsi="Cambria"/>
          <w:lang w:val="fr-FR"/>
        </w:rPr>
        <w:t>3.1.2.1 Une liste détaillée des rôles et des responsabilités associées pour chaque participant au programme.</w:t>
      </w:r>
    </w:p>
    <w:p w14:paraId="363E18E5" w14:textId="5054D02D" w:rsidR="00EA1837" w:rsidRPr="00182A40" w:rsidRDefault="000753DC" w:rsidP="00285BC3">
      <w:pPr>
        <w:pStyle w:val="ListParagraph"/>
        <w:numPr>
          <w:ilvl w:val="0"/>
          <w:numId w:val="21"/>
        </w:numPr>
        <w:jc w:val="left"/>
        <w:rPr>
          <w:rFonts w:ascii="Cambria" w:hAnsi="Cambria"/>
          <w:lang w:val="fr-FR"/>
        </w:rPr>
      </w:pPr>
      <w:r w:rsidRPr="00182A40">
        <w:rPr>
          <w:rFonts w:ascii="Cambria" w:hAnsi="Cambria"/>
          <w:lang w:val="fr-FR"/>
        </w:rPr>
        <w:t>3.1.2.2 Un document qui détermine les compétences requises pour chaque rôle.</w:t>
      </w:r>
    </w:p>
    <w:p w14:paraId="074DD40C" w14:textId="39DB2BC2" w:rsidR="00EA1837" w:rsidRPr="00182A40" w:rsidRDefault="000753DC" w:rsidP="00285BC3">
      <w:pPr>
        <w:pStyle w:val="ListParagraph"/>
        <w:numPr>
          <w:ilvl w:val="0"/>
          <w:numId w:val="21"/>
        </w:numPr>
        <w:spacing w:after="120"/>
        <w:jc w:val="left"/>
        <w:rPr>
          <w:rFonts w:ascii="Cambria" w:hAnsi="Cambria"/>
          <w:lang w:val="fr-FR"/>
        </w:rPr>
      </w:pPr>
      <w:r w:rsidRPr="00182A40">
        <w:rPr>
          <w:rFonts w:ascii="Cambria" w:hAnsi="Cambria"/>
          <w:lang w:val="fr-FR"/>
        </w:rPr>
        <w:t>3.1.2.3 Des documents attestant que les compétences de chaque participant au programme ont été évaluées.</w:t>
      </w:r>
    </w:p>
    <w:p w14:paraId="768DFC05" w14:textId="77777777" w:rsidR="00EA1837" w:rsidRPr="00182A40" w:rsidRDefault="00EA1837" w:rsidP="004126AF">
      <w:pPr>
        <w:keepNext/>
        <w:keepLines/>
        <w:spacing w:after="100" w:afterAutospacing="1"/>
        <w:rPr>
          <w:b/>
          <w:bCs/>
          <w:lang w:val="fr-FR"/>
        </w:rPr>
      </w:pPr>
      <w:r w:rsidRPr="00182A40">
        <w:rPr>
          <w:b/>
          <w:bCs/>
          <w:lang w:val="fr-FR"/>
        </w:rPr>
        <w:t>Raison :</w:t>
      </w:r>
    </w:p>
    <w:p w14:paraId="4051CCCF" w14:textId="25DAADA4" w:rsidR="00285BC3" w:rsidRPr="00182A40" w:rsidRDefault="00B5071A" w:rsidP="004126AF">
      <w:pPr>
        <w:rPr>
          <w:lang w:val="fr-FR"/>
        </w:rPr>
      </w:pPr>
      <w:r w:rsidRPr="00182A40">
        <w:rPr>
          <w:lang w:val="fr-FR"/>
        </w:rPr>
        <w:t>S’assurer que les participants au programme ont atteint un niveau de compétence suffisant pour assumer leurs rôles et les responsabilités qui en découlent.</w:t>
      </w:r>
    </w:p>
    <w:p w14:paraId="587AA2F8" w14:textId="6F20B885" w:rsidR="00EA1837" w:rsidRPr="00182A40" w:rsidRDefault="00EA1837" w:rsidP="004126AF">
      <w:pPr>
        <w:pStyle w:val="Heading3"/>
        <w:rPr>
          <w:lang w:val="fr-FR"/>
        </w:rPr>
      </w:pPr>
      <w:bookmarkStart w:id="32" w:name="_Toc57210371"/>
      <w:r w:rsidRPr="00182A40">
        <w:rPr>
          <w:lang w:val="fr-FR"/>
        </w:rPr>
        <w:t>Sensibilisation</w:t>
      </w:r>
      <w:bookmarkEnd w:id="32"/>
    </w:p>
    <w:p w14:paraId="73CAD84F" w14:textId="17FE2F7D" w:rsidR="00EA1837" w:rsidRPr="00182A40" w:rsidRDefault="00EA1837" w:rsidP="004126AF">
      <w:pPr>
        <w:spacing w:after="100" w:afterAutospacing="1"/>
        <w:rPr>
          <w:lang w:val="fr-FR"/>
        </w:rPr>
      </w:pPr>
      <w:r w:rsidRPr="00182A40">
        <w:rPr>
          <w:lang w:val="fr-FR"/>
        </w:rPr>
        <w:t>L’organisation doit s’assurer que les participants au programme sont tenus informés de :</w:t>
      </w:r>
    </w:p>
    <w:p w14:paraId="47D95532" w14:textId="309E460A" w:rsidR="00EA1837" w:rsidRPr="00182A40" w:rsidRDefault="00EA1837" w:rsidP="004126AF">
      <w:pPr>
        <w:pStyle w:val="ListParagraph"/>
        <w:numPr>
          <w:ilvl w:val="0"/>
          <w:numId w:val="5"/>
        </w:numPr>
        <w:spacing w:after="100" w:afterAutospacing="1"/>
        <w:jc w:val="left"/>
        <w:rPr>
          <w:rFonts w:ascii="Cambria" w:hAnsi="Cambria"/>
          <w:lang w:val="fr-FR"/>
        </w:rPr>
      </w:pPr>
      <w:r w:rsidRPr="00182A40">
        <w:rPr>
          <w:rFonts w:ascii="Cambria" w:hAnsi="Cambria"/>
          <w:lang w:val="fr-FR"/>
        </w:rPr>
        <w:t>sa politique open source ;</w:t>
      </w:r>
    </w:p>
    <w:p w14:paraId="77A63ACC" w14:textId="5158B4CD" w:rsidR="00EA1837" w:rsidRPr="00182A40" w:rsidRDefault="00EA1837" w:rsidP="00707647">
      <w:pPr>
        <w:pStyle w:val="ListParagraph"/>
        <w:numPr>
          <w:ilvl w:val="0"/>
          <w:numId w:val="5"/>
        </w:numPr>
        <w:jc w:val="left"/>
        <w:rPr>
          <w:rFonts w:ascii="Cambria" w:hAnsi="Cambria"/>
          <w:lang w:val="fr-FR"/>
        </w:rPr>
      </w:pPr>
      <w:r w:rsidRPr="00182A40">
        <w:rPr>
          <w:rFonts w:ascii="Cambria" w:hAnsi="Cambria"/>
          <w:lang w:val="fr-FR"/>
        </w:rPr>
        <w:t xml:space="preserve">des enjeux de l’open source ; </w:t>
      </w:r>
    </w:p>
    <w:p w14:paraId="3F2AA9EF" w14:textId="230006ED" w:rsidR="00EA1837" w:rsidRPr="00182A40" w:rsidRDefault="00EA1837" w:rsidP="00707647">
      <w:pPr>
        <w:pStyle w:val="ListParagraph"/>
        <w:numPr>
          <w:ilvl w:val="0"/>
          <w:numId w:val="5"/>
        </w:numPr>
        <w:jc w:val="left"/>
        <w:rPr>
          <w:rFonts w:ascii="Cambria" w:hAnsi="Cambria"/>
          <w:lang w:val="fr-FR"/>
        </w:rPr>
      </w:pPr>
      <w:r w:rsidRPr="00182A40">
        <w:rPr>
          <w:rFonts w:ascii="Cambria" w:hAnsi="Cambria"/>
          <w:lang w:val="fr-FR"/>
        </w:rPr>
        <w:t xml:space="preserve">de leur contribution à la réussite du programme, et </w:t>
      </w:r>
    </w:p>
    <w:p w14:paraId="62C5F92F" w14:textId="77777777" w:rsidR="00EA1837" w:rsidRPr="00182A40" w:rsidRDefault="00EA1837" w:rsidP="004126AF">
      <w:pPr>
        <w:pStyle w:val="ListParagraph"/>
        <w:numPr>
          <w:ilvl w:val="0"/>
          <w:numId w:val="5"/>
        </w:numPr>
        <w:spacing w:after="240" w:line="240" w:lineRule="atLeast"/>
        <w:jc w:val="left"/>
        <w:rPr>
          <w:rFonts w:ascii="Cambria" w:hAnsi="Cambria"/>
          <w:lang w:val="fr-FR"/>
        </w:rPr>
      </w:pPr>
      <w:r w:rsidRPr="00182A40">
        <w:rPr>
          <w:rFonts w:ascii="Cambria" w:hAnsi="Cambria"/>
          <w:lang w:val="fr-FR"/>
        </w:rPr>
        <w:t>des conséquences du non-respect des exigences du programme.</w:t>
      </w:r>
    </w:p>
    <w:p w14:paraId="64394426" w14:textId="1E853586" w:rsidR="00EA1837" w:rsidRPr="00182A40" w:rsidRDefault="00EA1837" w:rsidP="004126AF">
      <w:pPr>
        <w:keepNext/>
        <w:keepLines/>
        <w:spacing w:after="100" w:afterAutospacing="1"/>
        <w:rPr>
          <w:b/>
          <w:bCs/>
          <w:lang w:val="fr-FR"/>
        </w:rPr>
      </w:pPr>
      <w:r w:rsidRPr="00182A40">
        <w:rPr>
          <w:b/>
          <w:bCs/>
          <w:lang w:val="fr-FR"/>
        </w:rPr>
        <w:t>Élément(s) de vérification :</w:t>
      </w:r>
    </w:p>
    <w:p w14:paraId="03F85D18" w14:textId="19D118E9" w:rsidR="00EA1837" w:rsidRPr="00182A40" w:rsidRDefault="000753DC" w:rsidP="004126AF">
      <w:pPr>
        <w:pStyle w:val="ListParagraph"/>
        <w:numPr>
          <w:ilvl w:val="0"/>
          <w:numId w:val="19"/>
        </w:numPr>
        <w:spacing w:after="100" w:afterAutospacing="1"/>
        <w:jc w:val="left"/>
        <w:rPr>
          <w:rFonts w:ascii="Cambria" w:hAnsi="Cambria"/>
          <w:lang w:val="fr-FR"/>
        </w:rPr>
      </w:pPr>
      <w:r w:rsidRPr="00182A40">
        <w:rPr>
          <w:rFonts w:ascii="Cambria" w:hAnsi="Cambria"/>
          <w:lang w:val="fr-FR"/>
        </w:rPr>
        <w:t>3.1.3.1 Preuves documentées que les participants au programme ont bien intégré les objectifs du programme, leur contribution au sein du programme et les répercussions des manquements aux exigences du programme.</w:t>
      </w:r>
    </w:p>
    <w:p w14:paraId="39EEE575" w14:textId="77777777" w:rsidR="00EA1837" w:rsidRPr="00182A40" w:rsidRDefault="00EA1837" w:rsidP="004126AF">
      <w:pPr>
        <w:keepNext/>
        <w:keepLines/>
        <w:spacing w:after="100" w:afterAutospacing="1"/>
        <w:rPr>
          <w:b/>
          <w:bCs/>
          <w:lang w:val="fr-FR"/>
        </w:rPr>
      </w:pPr>
      <w:r w:rsidRPr="00182A40">
        <w:rPr>
          <w:b/>
          <w:bCs/>
          <w:lang w:val="fr-FR"/>
        </w:rPr>
        <w:t>Raison :</w:t>
      </w:r>
    </w:p>
    <w:p w14:paraId="1CE58183" w14:textId="18B894CF" w:rsidR="00EA1837" w:rsidRPr="00182A40" w:rsidRDefault="00EA1837" w:rsidP="004126AF">
      <w:pPr>
        <w:rPr>
          <w:lang w:val="fr-FR"/>
        </w:rPr>
      </w:pPr>
      <w:r w:rsidRPr="00182A40">
        <w:rPr>
          <w:lang w:val="fr-FR"/>
        </w:rPr>
        <w:t>S’assurer que les participants au programme ont obtenu un niveau de sensibilisation suffisant pour assumer leurs rôles et les responsabilités qui en découlent au sein du programme.</w:t>
      </w:r>
    </w:p>
    <w:p w14:paraId="425B4C10" w14:textId="6B9C4AA9" w:rsidR="00EA1837" w:rsidRPr="00182A40" w:rsidRDefault="00EA1837" w:rsidP="005641F2">
      <w:pPr>
        <w:pStyle w:val="Heading3"/>
        <w:spacing w:after="100" w:afterAutospacing="1"/>
        <w:rPr>
          <w:lang w:val="fr-FR"/>
        </w:rPr>
      </w:pPr>
      <w:bookmarkStart w:id="33" w:name="_Ref11920412"/>
      <w:bookmarkStart w:id="34" w:name="_Toc57210372"/>
      <w:r w:rsidRPr="00182A40">
        <w:rPr>
          <w:lang w:val="fr-FR"/>
        </w:rPr>
        <w:t>Périmètre du programme</w:t>
      </w:r>
      <w:bookmarkEnd w:id="33"/>
      <w:bookmarkEnd w:id="34"/>
    </w:p>
    <w:p w14:paraId="4381C7B9" w14:textId="59418745" w:rsidR="00EA1837" w:rsidRPr="00182A40" w:rsidRDefault="00EA1837" w:rsidP="005641F2">
      <w:pPr>
        <w:rPr>
          <w:lang w:val="fr-FR"/>
        </w:rPr>
      </w:pPr>
      <w:r w:rsidRPr="00182A40">
        <w:rPr>
          <w:lang w:val="fr-FR"/>
        </w:rPr>
        <w:t xml:space="preserve">Différents programmes peuvent être régis par différents niveaux de périmètre. Par exemple, un programme peut ne concerner qu’une seule gamme de produits, un département entier ou l’ensemble de l’organisation. Chaque programme doit explicitement énoncer le périmètre auquel il s’applique. </w:t>
      </w:r>
    </w:p>
    <w:p w14:paraId="45634714" w14:textId="2E4BEABB" w:rsidR="00EA1837" w:rsidRPr="00182A40" w:rsidRDefault="00EA1837" w:rsidP="00952169">
      <w:pPr>
        <w:keepNext/>
        <w:keepLines/>
        <w:spacing w:after="100" w:afterAutospacing="1"/>
        <w:rPr>
          <w:b/>
          <w:bCs/>
          <w:lang w:val="fr-FR"/>
        </w:rPr>
      </w:pPr>
      <w:r w:rsidRPr="00182A40">
        <w:rPr>
          <w:b/>
          <w:bCs/>
          <w:lang w:val="fr-FR"/>
        </w:rPr>
        <w:t>Élément(s) de vérification :</w:t>
      </w:r>
    </w:p>
    <w:p w14:paraId="0CAAA7EE" w14:textId="196FC1CF" w:rsidR="00EA1837" w:rsidRPr="00182A40" w:rsidRDefault="000753DC" w:rsidP="005641F2">
      <w:pPr>
        <w:pStyle w:val="ListParagraph"/>
        <w:numPr>
          <w:ilvl w:val="0"/>
          <w:numId w:val="23"/>
        </w:numPr>
        <w:spacing w:after="240" w:line="240" w:lineRule="atLeast"/>
        <w:jc w:val="left"/>
        <w:rPr>
          <w:rFonts w:ascii="Cambria" w:hAnsi="Cambria"/>
          <w:lang w:val="fr-FR"/>
        </w:rPr>
      </w:pPr>
      <w:r w:rsidRPr="00182A40">
        <w:rPr>
          <w:rFonts w:ascii="Cambria" w:hAnsi="Cambria"/>
          <w:lang w:val="fr-FR"/>
        </w:rPr>
        <w:t>3.1.4.1 Une déclaration écrite qui définit clairement la portée et les limites du programme.</w:t>
      </w:r>
    </w:p>
    <w:p w14:paraId="32236D7F" w14:textId="77777777" w:rsidR="00EA1837" w:rsidRPr="00182A40" w:rsidRDefault="00EA1837" w:rsidP="005641F2">
      <w:pPr>
        <w:keepNext/>
        <w:keepLines/>
        <w:spacing w:after="100" w:afterAutospacing="1"/>
        <w:rPr>
          <w:b/>
          <w:bCs/>
          <w:lang w:val="fr-FR"/>
        </w:rPr>
      </w:pPr>
      <w:r w:rsidRPr="00182A40">
        <w:rPr>
          <w:b/>
          <w:bCs/>
          <w:lang w:val="fr-FR"/>
        </w:rPr>
        <w:t>Raison :</w:t>
      </w:r>
    </w:p>
    <w:p w14:paraId="142C8279" w14:textId="1B5F7EB7" w:rsidR="00EA1837" w:rsidRPr="00182A40" w:rsidRDefault="00EA1837" w:rsidP="005641F2">
      <w:pPr>
        <w:rPr>
          <w:lang w:val="fr-FR"/>
        </w:rPr>
      </w:pPr>
      <w:r w:rsidRPr="00182A40">
        <w:rPr>
          <w:lang w:val="fr-FR"/>
        </w:rPr>
        <w:t xml:space="preserve">Offrir à l’organisation la flexibilité nécessaire pour qu’elle élabore le programme qui correspond le mieux à ses besoins. Certaines organisations peuvent choisir de poursuivre un programme pour une gamme de produits donnée, tandis que d’autres peuvent implémenter un programme qui régit l’ensemble des logiciels fournis par l’organisation. </w:t>
      </w:r>
    </w:p>
    <w:p w14:paraId="58FC46C2" w14:textId="0163E9AE" w:rsidR="00EA1837" w:rsidRPr="00182A40" w:rsidRDefault="00EA1837" w:rsidP="005641F2">
      <w:pPr>
        <w:pStyle w:val="Heading3"/>
        <w:spacing w:after="100" w:afterAutospacing="1"/>
        <w:rPr>
          <w:lang w:val="fr-FR"/>
        </w:rPr>
      </w:pPr>
      <w:bookmarkStart w:id="35" w:name="_Toc57210373"/>
      <w:r w:rsidRPr="00182A40">
        <w:rPr>
          <w:lang w:val="fr-FR"/>
        </w:rPr>
        <w:t>Obligations liées aux licences</w:t>
      </w:r>
      <w:bookmarkEnd w:id="35"/>
    </w:p>
    <w:p w14:paraId="61336BB2" w14:textId="76D022AD" w:rsidR="00EA1837" w:rsidRPr="00182A40" w:rsidRDefault="00EA1837" w:rsidP="005641F2">
      <w:pPr>
        <w:rPr>
          <w:lang w:val="fr-FR"/>
        </w:rPr>
      </w:pPr>
      <w:r w:rsidRPr="00182A40">
        <w:rPr>
          <w:lang w:val="fr-FR"/>
        </w:rPr>
        <w:t>Il doit exister un processus pour examiner les licences identifiées afin de déterminer les obligations, restrictions et droits accordés par chacune d’elles.</w:t>
      </w:r>
    </w:p>
    <w:p w14:paraId="78133A1A" w14:textId="3AF9EB86" w:rsidR="00EA1837" w:rsidRPr="00182A40" w:rsidRDefault="00EA1837" w:rsidP="005641F2">
      <w:pPr>
        <w:keepNext/>
        <w:keepLines/>
        <w:spacing w:after="100" w:afterAutospacing="1"/>
        <w:rPr>
          <w:b/>
          <w:bCs/>
          <w:lang w:val="fr-FR"/>
        </w:rPr>
      </w:pPr>
      <w:r w:rsidRPr="00182A40">
        <w:rPr>
          <w:b/>
          <w:bCs/>
          <w:lang w:val="fr-FR"/>
        </w:rPr>
        <w:lastRenderedPageBreak/>
        <w:t>Élément(s) de vérification :</w:t>
      </w:r>
    </w:p>
    <w:p w14:paraId="14A8F63A" w14:textId="72D5E586" w:rsidR="00EA1837" w:rsidRPr="00182A40" w:rsidRDefault="000753DC" w:rsidP="00894EAB">
      <w:pPr>
        <w:pStyle w:val="ListParagraph"/>
        <w:numPr>
          <w:ilvl w:val="0"/>
          <w:numId w:val="24"/>
        </w:numPr>
        <w:spacing w:after="240" w:line="240" w:lineRule="atLeast"/>
        <w:jc w:val="left"/>
        <w:rPr>
          <w:rFonts w:ascii="Cambria" w:hAnsi="Cambria"/>
          <w:lang w:val="fr-FR"/>
        </w:rPr>
      </w:pPr>
      <w:r w:rsidRPr="00182A40">
        <w:rPr>
          <w:rFonts w:ascii="Cambria" w:hAnsi="Cambria"/>
          <w:lang w:val="fr-FR"/>
        </w:rPr>
        <w:t>3.1.5.1 Une procédure documentée pour examiner et documenter les obligations, restrictions et droits accordés par chaque licence identifiée.</w:t>
      </w:r>
    </w:p>
    <w:p w14:paraId="20F4B04A" w14:textId="77777777" w:rsidR="00EA1837" w:rsidRPr="00182A40" w:rsidRDefault="00EA1837" w:rsidP="005641F2">
      <w:pPr>
        <w:keepNext/>
        <w:keepLines/>
        <w:spacing w:after="100" w:afterAutospacing="1"/>
        <w:rPr>
          <w:b/>
          <w:bCs/>
          <w:lang w:val="fr-FR"/>
        </w:rPr>
      </w:pPr>
      <w:r w:rsidRPr="00182A40">
        <w:rPr>
          <w:b/>
          <w:bCs/>
          <w:lang w:val="fr-FR"/>
        </w:rPr>
        <w:t>Raison :</w:t>
      </w:r>
    </w:p>
    <w:p w14:paraId="661BCDFD" w14:textId="43D4D54C" w:rsidR="00EA1837" w:rsidRPr="00182A40" w:rsidRDefault="00EA1837" w:rsidP="005641F2">
      <w:pPr>
        <w:rPr>
          <w:lang w:val="fr-FR"/>
        </w:rPr>
      </w:pPr>
      <w:r w:rsidRPr="00182A40">
        <w:rPr>
          <w:lang w:val="fr-FR"/>
        </w:rPr>
        <w:t>S’assurer qu’il existe un processus pour examiner et identifier les obligations des licences pour chaque licence identifiée, et ce, pour chaque cas d’usage qu’une organisation est susceptible de rencontrer (comme défini en 3.3.2).</w:t>
      </w:r>
      <w:r w:rsidR="00D541EE" w:rsidRPr="00182A40">
        <w:rPr>
          <w:lang w:val="fr-FR"/>
        </w:rPr>
        <w:fldChar w:fldCharType="begin"/>
      </w:r>
      <w:r w:rsidR="00D541EE" w:rsidRPr="00182A40">
        <w:rPr>
          <w:lang w:val="fr-FR"/>
        </w:rPr>
        <w:instrText xml:space="preserve"> REF _Ref11920309 \r \h </w:instrText>
      </w:r>
      <w:r w:rsidR="00D541EE" w:rsidRPr="00182A40">
        <w:rPr>
          <w:lang w:val="fr-FR"/>
        </w:rPr>
      </w:r>
      <w:r w:rsidR="00D541EE" w:rsidRPr="00182A40">
        <w:rPr>
          <w:lang w:val="fr-FR"/>
        </w:rPr>
        <w:fldChar w:fldCharType="end"/>
      </w:r>
    </w:p>
    <w:p w14:paraId="0C3AD15D" w14:textId="45E2F41A" w:rsidR="003E247B" w:rsidRPr="00182A40" w:rsidRDefault="00952169" w:rsidP="005641F2">
      <w:pPr>
        <w:pStyle w:val="Heading2"/>
        <w:spacing w:line="240" w:lineRule="atLeast"/>
        <w:rPr>
          <w:lang w:val="fr-FR"/>
        </w:rPr>
      </w:pPr>
      <w:bookmarkStart w:id="36" w:name="_Toc457078799"/>
      <w:bookmarkStart w:id="37" w:name="_Toc5785629"/>
      <w:r w:rsidRPr="00182A40">
        <w:rPr>
          <w:lang w:val="fr-FR"/>
        </w:rPr>
        <w:t xml:space="preserve"> </w:t>
      </w:r>
      <w:bookmarkStart w:id="38" w:name="_Toc57210374"/>
      <w:r w:rsidR="003E247B" w:rsidRPr="00182A40">
        <w:rPr>
          <w:lang w:val="fr-FR"/>
        </w:rPr>
        <w:t>Définition des tâches nécessaires et des ressources associées</w:t>
      </w:r>
      <w:bookmarkEnd w:id="36"/>
      <w:bookmarkEnd w:id="37"/>
      <w:bookmarkEnd w:id="38"/>
    </w:p>
    <w:p w14:paraId="477E94FB" w14:textId="3B326270" w:rsidR="003E247B" w:rsidRPr="00182A40" w:rsidRDefault="003E247B" w:rsidP="00894EAB">
      <w:pPr>
        <w:pStyle w:val="Heading3"/>
        <w:spacing w:after="100" w:afterAutospacing="1"/>
        <w:rPr>
          <w:lang w:val="fr-FR"/>
        </w:rPr>
      </w:pPr>
      <w:bookmarkStart w:id="39" w:name="_Toc57210375"/>
      <w:r w:rsidRPr="00182A40">
        <w:rPr>
          <w:lang w:val="fr-FR"/>
        </w:rPr>
        <w:t>Visibilité externe</w:t>
      </w:r>
      <w:bookmarkEnd w:id="39"/>
    </w:p>
    <w:p w14:paraId="5E2643DD" w14:textId="314858EA" w:rsidR="003E247B" w:rsidRPr="00182A40" w:rsidRDefault="003E247B" w:rsidP="00894EAB">
      <w:pPr>
        <w:spacing w:after="100" w:afterAutospacing="1"/>
        <w:rPr>
          <w:lang w:val="fr-FR"/>
        </w:rPr>
      </w:pPr>
      <w:r w:rsidRPr="00182A40">
        <w:rPr>
          <w:lang w:val="fr-FR"/>
        </w:rPr>
        <w:t>Maintenir un processus afin de répondre efficacement aux demandes externes relatives au code open source. Identifier publiquement une méthode par laquelle une tierce partie peut effectuer une demande relative à la conformité des licences open source.</w:t>
      </w:r>
    </w:p>
    <w:p w14:paraId="775B21AE" w14:textId="7F6B95C0" w:rsidR="003E247B" w:rsidRPr="00182A40" w:rsidRDefault="003E247B" w:rsidP="004126AF">
      <w:pPr>
        <w:keepNext/>
        <w:keepLines/>
        <w:spacing w:after="100" w:afterAutospacing="1"/>
        <w:rPr>
          <w:b/>
          <w:bCs/>
          <w:lang w:val="fr-FR"/>
        </w:rPr>
      </w:pPr>
      <w:r w:rsidRPr="00182A40">
        <w:rPr>
          <w:b/>
          <w:bCs/>
          <w:lang w:val="fr-FR"/>
        </w:rPr>
        <w:t>Élément(s) de vérification :</w:t>
      </w:r>
    </w:p>
    <w:p w14:paraId="7E280AB7" w14:textId="333DC7F2" w:rsidR="003E247B" w:rsidRPr="00182A40" w:rsidRDefault="00050B78" w:rsidP="00952169">
      <w:pPr>
        <w:pStyle w:val="ListParagraph"/>
        <w:numPr>
          <w:ilvl w:val="0"/>
          <w:numId w:val="24"/>
        </w:numPr>
        <w:spacing w:after="100" w:afterAutospacing="1"/>
        <w:jc w:val="left"/>
        <w:rPr>
          <w:rFonts w:ascii="Cambria" w:hAnsi="Cambria"/>
          <w:lang w:val="fr-FR"/>
        </w:rPr>
      </w:pPr>
      <w:r w:rsidRPr="00182A40">
        <w:rPr>
          <w:rFonts w:ascii="Cambria" w:hAnsi="Cambria"/>
          <w:lang w:val="fr-FR"/>
        </w:rPr>
        <w:t xml:space="preserve">3.2.1.1 Une méthode publiquement accessible qui permet à toute tierce partie d’effectuer une demande relative à la conformité aux licences open source (au moyen d'une adresse courriel de contact rendue publique, de l’annuaire Open Compliance Directory de la Linux </w:t>
      </w:r>
      <w:proofErr w:type="spellStart"/>
      <w:r w:rsidRPr="00182A40">
        <w:rPr>
          <w:rFonts w:ascii="Cambria" w:hAnsi="Cambria"/>
          <w:lang w:val="fr-FR"/>
        </w:rPr>
        <w:t>Foundation</w:t>
      </w:r>
      <w:proofErr w:type="spellEnd"/>
      <w:r w:rsidRPr="00182A40">
        <w:rPr>
          <w:rFonts w:ascii="Cambria" w:hAnsi="Cambria"/>
          <w:lang w:val="fr-FR"/>
        </w:rPr>
        <w:t>, etc.).</w:t>
      </w:r>
      <w:r w:rsidR="003E247B" w:rsidRPr="00182A40">
        <w:rPr>
          <w:rFonts w:ascii="Cambria" w:hAnsi="Cambria"/>
          <w:lang w:val="fr-FR"/>
        </w:rPr>
        <w:t xml:space="preserve"> </w:t>
      </w:r>
    </w:p>
    <w:p w14:paraId="61300E15" w14:textId="642C5FD6" w:rsidR="003E247B" w:rsidRPr="00182A40" w:rsidRDefault="00050B78" w:rsidP="004126AF">
      <w:pPr>
        <w:pStyle w:val="ListParagraph"/>
        <w:numPr>
          <w:ilvl w:val="0"/>
          <w:numId w:val="24"/>
        </w:numPr>
        <w:spacing w:after="240" w:line="240" w:lineRule="atLeast"/>
        <w:jc w:val="left"/>
        <w:rPr>
          <w:rFonts w:ascii="Cambria" w:hAnsi="Cambria"/>
          <w:lang w:val="fr-FR"/>
        </w:rPr>
      </w:pPr>
      <w:r w:rsidRPr="00182A40">
        <w:rPr>
          <w:rFonts w:ascii="Cambria" w:hAnsi="Cambria"/>
          <w:lang w:val="fr-FR"/>
        </w:rPr>
        <w:t>3.2.1.2 Une procédure interne documentée pour répondre aux demandes de tierces parties relatives à la conformité aux licences open source.</w:t>
      </w:r>
    </w:p>
    <w:p w14:paraId="0CC7D806" w14:textId="77777777" w:rsidR="003E247B" w:rsidRPr="00182A40" w:rsidRDefault="003E247B" w:rsidP="004126AF">
      <w:pPr>
        <w:keepNext/>
        <w:keepLines/>
        <w:spacing w:after="100" w:afterAutospacing="1"/>
        <w:rPr>
          <w:b/>
          <w:bCs/>
          <w:lang w:val="fr-FR"/>
        </w:rPr>
      </w:pPr>
      <w:r w:rsidRPr="00182A40">
        <w:rPr>
          <w:b/>
          <w:bCs/>
          <w:lang w:val="fr-FR"/>
        </w:rPr>
        <w:t>Raison :</w:t>
      </w:r>
    </w:p>
    <w:p w14:paraId="69B72549" w14:textId="7BAC36F3" w:rsidR="003E247B" w:rsidRPr="00182A40" w:rsidRDefault="003E247B" w:rsidP="004126AF">
      <w:pPr>
        <w:rPr>
          <w:lang w:val="fr-FR"/>
        </w:rPr>
      </w:pPr>
      <w:r w:rsidRPr="00182A40">
        <w:rPr>
          <w:lang w:val="fr-FR"/>
        </w:rPr>
        <w:t>S’assurer qu’il existe une méthode raisonnable pour une tierce partie de contacter l’organisation pour lui adresser ses demandes relatives à la conformité open source, et s’assurer que l’organisation est en mesure d’y répondre de manière efficace.</w:t>
      </w:r>
    </w:p>
    <w:p w14:paraId="3A1DE902" w14:textId="16F72B4C" w:rsidR="003E247B" w:rsidRPr="00182A40" w:rsidRDefault="003E247B" w:rsidP="004126AF">
      <w:pPr>
        <w:pStyle w:val="Heading3"/>
        <w:rPr>
          <w:lang w:val="fr-FR"/>
        </w:rPr>
      </w:pPr>
      <w:bookmarkStart w:id="40" w:name="_Toc57210376"/>
      <w:r w:rsidRPr="00182A40">
        <w:rPr>
          <w:lang w:val="fr-FR"/>
        </w:rPr>
        <w:t>Ressources adaptées</w:t>
      </w:r>
      <w:bookmarkEnd w:id="40"/>
    </w:p>
    <w:p w14:paraId="2880BB88" w14:textId="77777777" w:rsidR="003E247B" w:rsidRPr="00182A40" w:rsidRDefault="003E247B" w:rsidP="004126AF">
      <w:pPr>
        <w:keepNext/>
        <w:spacing w:after="100" w:afterAutospacing="1"/>
        <w:rPr>
          <w:lang w:val="fr-FR"/>
        </w:rPr>
      </w:pPr>
      <w:r w:rsidRPr="00182A40">
        <w:rPr>
          <w:lang w:val="fr-FR"/>
        </w:rPr>
        <w:t>Identifier et attribuer des ressources aux tâches du programme :</w:t>
      </w:r>
    </w:p>
    <w:p w14:paraId="6DA72705" w14:textId="75B7CEE0" w:rsidR="003E247B" w:rsidRPr="00182A40" w:rsidRDefault="003E247B" w:rsidP="004126AF">
      <w:pPr>
        <w:pStyle w:val="ListParagraph"/>
        <w:numPr>
          <w:ilvl w:val="0"/>
          <w:numId w:val="38"/>
        </w:numPr>
        <w:spacing w:after="100" w:afterAutospacing="1"/>
        <w:jc w:val="left"/>
        <w:rPr>
          <w:rFonts w:ascii="Cambria" w:hAnsi="Cambria"/>
          <w:lang w:val="fr-FR"/>
        </w:rPr>
      </w:pPr>
      <w:r w:rsidRPr="00182A40">
        <w:rPr>
          <w:rFonts w:ascii="Cambria" w:hAnsi="Cambria"/>
          <w:lang w:val="fr-FR"/>
        </w:rPr>
        <w:t xml:space="preserve">Des responsables sont désignés pour assurer la bonne exécution des différentes tâches du programme. </w:t>
      </w:r>
    </w:p>
    <w:p w14:paraId="4090EA1F" w14:textId="77777777" w:rsidR="003E247B" w:rsidRPr="00182A40" w:rsidRDefault="003E247B" w:rsidP="004126AF">
      <w:pPr>
        <w:pStyle w:val="ListParagraph"/>
        <w:numPr>
          <w:ilvl w:val="0"/>
          <w:numId w:val="38"/>
        </w:numPr>
        <w:jc w:val="left"/>
        <w:rPr>
          <w:rFonts w:ascii="Cambria" w:hAnsi="Cambria"/>
          <w:lang w:val="fr-FR"/>
        </w:rPr>
      </w:pPr>
      <w:r w:rsidRPr="00182A40">
        <w:rPr>
          <w:rFonts w:ascii="Cambria" w:hAnsi="Cambria"/>
          <w:lang w:val="fr-FR"/>
        </w:rPr>
        <w:t>Les tâches du programme disposent de ressources suffisantes :</w:t>
      </w:r>
    </w:p>
    <w:p w14:paraId="1272721E" w14:textId="77777777" w:rsidR="003E247B" w:rsidRPr="00182A40" w:rsidRDefault="003E247B" w:rsidP="004126AF">
      <w:pPr>
        <w:pStyle w:val="ListParagraph"/>
        <w:numPr>
          <w:ilvl w:val="1"/>
          <w:numId w:val="38"/>
        </w:numPr>
        <w:jc w:val="left"/>
        <w:rPr>
          <w:rFonts w:ascii="Cambria" w:hAnsi="Cambria"/>
          <w:lang w:val="fr-FR"/>
        </w:rPr>
      </w:pPr>
      <w:r w:rsidRPr="00182A40">
        <w:rPr>
          <w:rFonts w:ascii="Cambria" w:hAnsi="Cambria"/>
          <w:lang w:val="fr-FR"/>
        </w:rPr>
        <w:t>un temps suffisant a été alloué pour la réalisation des tâches du programme ; et</w:t>
      </w:r>
    </w:p>
    <w:p w14:paraId="4B90ADFB" w14:textId="77777777" w:rsidR="003E247B" w:rsidRPr="00182A40" w:rsidRDefault="003E247B" w:rsidP="004126AF">
      <w:pPr>
        <w:pStyle w:val="ListParagraph"/>
        <w:numPr>
          <w:ilvl w:val="1"/>
          <w:numId w:val="38"/>
        </w:numPr>
        <w:jc w:val="left"/>
        <w:rPr>
          <w:rFonts w:ascii="Cambria" w:hAnsi="Cambria"/>
          <w:lang w:val="fr-FR"/>
        </w:rPr>
      </w:pPr>
      <w:r w:rsidRPr="00182A40">
        <w:rPr>
          <w:rFonts w:ascii="Cambria" w:hAnsi="Cambria"/>
          <w:lang w:val="fr-FR"/>
        </w:rPr>
        <w:t>un budget adapté leur a été alloué.</w:t>
      </w:r>
    </w:p>
    <w:p w14:paraId="086F6229" w14:textId="77777777" w:rsidR="003E247B" w:rsidRPr="00182A40" w:rsidRDefault="003E247B" w:rsidP="004126AF">
      <w:pPr>
        <w:pStyle w:val="ListParagraph"/>
        <w:numPr>
          <w:ilvl w:val="0"/>
          <w:numId w:val="38"/>
        </w:numPr>
        <w:jc w:val="left"/>
        <w:rPr>
          <w:rFonts w:ascii="Cambria" w:hAnsi="Cambria"/>
          <w:lang w:val="fr-FR"/>
        </w:rPr>
      </w:pPr>
      <w:r w:rsidRPr="00182A40">
        <w:rPr>
          <w:rFonts w:ascii="Cambria" w:hAnsi="Cambria"/>
          <w:lang w:val="fr-FR"/>
        </w:rPr>
        <w:t>Il existe un processus d’examen et de mise à jour de la politique et des tâches qui en découlent ;</w:t>
      </w:r>
    </w:p>
    <w:p w14:paraId="3415688E" w14:textId="5748466F" w:rsidR="003E247B" w:rsidRPr="00182A40" w:rsidRDefault="003E247B" w:rsidP="004126AF">
      <w:pPr>
        <w:pStyle w:val="ListParagraph"/>
        <w:numPr>
          <w:ilvl w:val="0"/>
          <w:numId w:val="38"/>
        </w:numPr>
        <w:jc w:val="left"/>
        <w:rPr>
          <w:rFonts w:ascii="Cambria" w:hAnsi="Cambria"/>
          <w:lang w:val="fr-FR"/>
        </w:rPr>
      </w:pPr>
      <w:r w:rsidRPr="00182A40">
        <w:rPr>
          <w:rFonts w:ascii="Cambria" w:hAnsi="Cambria"/>
          <w:lang w:val="fr-FR"/>
        </w:rPr>
        <w:t>L’expertise juridique relative à la conformité aux licences open source est accessible à ceux qui peuvent en avoir besoin ; et</w:t>
      </w:r>
    </w:p>
    <w:p w14:paraId="3458E920" w14:textId="732538D9" w:rsidR="003E247B" w:rsidRPr="00182A40" w:rsidRDefault="003E247B" w:rsidP="004126AF">
      <w:pPr>
        <w:pStyle w:val="ListParagraph"/>
        <w:numPr>
          <w:ilvl w:val="0"/>
          <w:numId w:val="38"/>
        </w:numPr>
        <w:spacing w:after="240" w:line="240" w:lineRule="atLeast"/>
        <w:jc w:val="left"/>
        <w:rPr>
          <w:rFonts w:ascii="Cambria" w:hAnsi="Cambria"/>
          <w:lang w:val="fr-FR"/>
        </w:rPr>
      </w:pPr>
      <w:r w:rsidRPr="00182A40">
        <w:rPr>
          <w:rFonts w:ascii="Cambria" w:hAnsi="Cambria"/>
          <w:lang w:val="fr-FR"/>
        </w:rPr>
        <w:t>Un processus est en place pour la résolution des problèmes de conformité aux licences open source.</w:t>
      </w:r>
    </w:p>
    <w:p w14:paraId="2432A4E5" w14:textId="51D27C44" w:rsidR="003E247B" w:rsidRPr="00182A40" w:rsidRDefault="003E247B" w:rsidP="004126AF">
      <w:pPr>
        <w:keepNext/>
        <w:keepLines/>
        <w:spacing w:after="100" w:afterAutospacing="1"/>
        <w:rPr>
          <w:b/>
          <w:bCs/>
          <w:lang w:val="fr-FR"/>
        </w:rPr>
      </w:pPr>
      <w:r w:rsidRPr="00182A40">
        <w:rPr>
          <w:b/>
          <w:bCs/>
          <w:lang w:val="fr-FR"/>
        </w:rPr>
        <w:t>Élément(s) de vérification :</w:t>
      </w:r>
    </w:p>
    <w:p w14:paraId="45ECB1EB" w14:textId="1565752E" w:rsidR="003E247B" w:rsidRPr="00182A40" w:rsidRDefault="00050B78" w:rsidP="004126AF">
      <w:pPr>
        <w:pStyle w:val="ListParagraph"/>
        <w:numPr>
          <w:ilvl w:val="0"/>
          <w:numId w:val="24"/>
        </w:numPr>
        <w:spacing w:after="100" w:afterAutospacing="1"/>
        <w:jc w:val="left"/>
        <w:rPr>
          <w:rFonts w:ascii="Cambria" w:hAnsi="Cambria"/>
          <w:lang w:val="fr-FR"/>
        </w:rPr>
      </w:pPr>
      <w:r w:rsidRPr="00182A40">
        <w:rPr>
          <w:rFonts w:ascii="Cambria" w:hAnsi="Cambria"/>
          <w:lang w:val="fr-FR"/>
        </w:rPr>
        <w:t>3.2.2.1 Un document comportant le nom des personnes, leur groupe ou leur fonction pour chaque rôle identifié au sein du programme.</w:t>
      </w:r>
    </w:p>
    <w:p w14:paraId="24725E36" w14:textId="704D106B" w:rsidR="003E247B" w:rsidRPr="00182A40" w:rsidRDefault="00050B78" w:rsidP="00C732DE">
      <w:pPr>
        <w:pStyle w:val="ListParagraph"/>
        <w:numPr>
          <w:ilvl w:val="0"/>
          <w:numId w:val="24"/>
        </w:numPr>
        <w:spacing w:after="120"/>
        <w:jc w:val="left"/>
        <w:rPr>
          <w:rFonts w:ascii="Cambria" w:hAnsi="Cambria"/>
          <w:lang w:val="fr-FR"/>
        </w:rPr>
      </w:pPr>
      <w:r w:rsidRPr="00182A40">
        <w:rPr>
          <w:rFonts w:ascii="Cambria" w:hAnsi="Cambria"/>
          <w:lang w:val="fr-FR"/>
        </w:rPr>
        <w:t>3.2.2.2 Les rôles définis pour le programme ont été suffisamment pourvus en personnel et un financement adéquat a été fourni.</w:t>
      </w:r>
    </w:p>
    <w:p w14:paraId="52950F4A" w14:textId="577BC73D" w:rsidR="003E247B" w:rsidRPr="00182A40" w:rsidRDefault="00050B78" w:rsidP="00C732DE">
      <w:pPr>
        <w:pStyle w:val="ListParagraph"/>
        <w:numPr>
          <w:ilvl w:val="0"/>
          <w:numId w:val="24"/>
        </w:numPr>
        <w:spacing w:after="120"/>
        <w:jc w:val="left"/>
        <w:rPr>
          <w:rFonts w:ascii="Cambria" w:hAnsi="Cambria"/>
          <w:lang w:val="fr-FR"/>
        </w:rPr>
      </w:pPr>
      <w:r w:rsidRPr="00182A40">
        <w:rPr>
          <w:rFonts w:ascii="Cambria" w:hAnsi="Cambria"/>
          <w:lang w:val="fr-FR"/>
        </w:rPr>
        <w:t>3.2.2.3 Identification de l’expertise juridique disponible pour traiter les questions de conformité aux licences open source. Cette expertise peut être interne ou externe.</w:t>
      </w:r>
    </w:p>
    <w:p w14:paraId="3B786346" w14:textId="42975E6E" w:rsidR="003E247B" w:rsidRPr="00182A40" w:rsidRDefault="00050B78" w:rsidP="00C732DE">
      <w:pPr>
        <w:pStyle w:val="ListParagraph"/>
        <w:numPr>
          <w:ilvl w:val="0"/>
          <w:numId w:val="24"/>
        </w:numPr>
        <w:spacing w:after="120"/>
        <w:jc w:val="left"/>
        <w:rPr>
          <w:rFonts w:ascii="Cambria" w:hAnsi="Cambria"/>
          <w:lang w:val="fr-FR"/>
        </w:rPr>
      </w:pPr>
      <w:r w:rsidRPr="00182A40">
        <w:rPr>
          <w:rFonts w:ascii="Cambria" w:hAnsi="Cambria"/>
          <w:lang w:val="fr-FR"/>
        </w:rPr>
        <w:lastRenderedPageBreak/>
        <w:t>3.2.2.4 Une procédure documentée qui attribue les responsabilités internes pour la conformité open source.</w:t>
      </w:r>
    </w:p>
    <w:p w14:paraId="148542A8" w14:textId="440E71AF" w:rsidR="003E247B" w:rsidRPr="00182A40" w:rsidRDefault="00050B78" w:rsidP="004126AF">
      <w:pPr>
        <w:pStyle w:val="ListParagraph"/>
        <w:numPr>
          <w:ilvl w:val="0"/>
          <w:numId w:val="24"/>
        </w:numPr>
        <w:spacing w:after="240" w:line="240" w:lineRule="atLeast"/>
        <w:jc w:val="left"/>
        <w:rPr>
          <w:rFonts w:ascii="Cambria" w:hAnsi="Cambria"/>
          <w:lang w:val="fr-FR"/>
        </w:rPr>
      </w:pPr>
      <w:r w:rsidRPr="00182A40">
        <w:rPr>
          <w:rFonts w:ascii="Cambria" w:hAnsi="Cambria"/>
          <w:lang w:val="fr-FR"/>
        </w:rPr>
        <w:t>3.2.2.5 Une procédure documentée pour traiter l’examen et la correction des cas de non-conformité.</w:t>
      </w:r>
    </w:p>
    <w:p w14:paraId="5720D4FF" w14:textId="77777777" w:rsidR="003E247B" w:rsidRPr="00182A40" w:rsidRDefault="003E247B" w:rsidP="004126AF">
      <w:pPr>
        <w:keepNext/>
        <w:keepLines/>
        <w:spacing w:after="100" w:afterAutospacing="1"/>
        <w:rPr>
          <w:b/>
          <w:bCs/>
          <w:lang w:val="fr-FR"/>
        </w:rPr>
      </w:pPr>
      <w:r w:rsidRPr="00182A40">
        <w:rPr>
          <w:b/>
          <w:bCs/>
          <w:lang w:val="fr-FR"/>
        </w:rPr>
        <w:t>Raison :</w:t>
      </w:r>
    </w:p>
    <w:p w14:paraId="21981B85" w14:textId="7C5D6870" w:rsidR="003E247B" w:rsidRPr="00182A40" w:rsidRDefault="003E247B" w:rsidP="004126AF">
      <w:pPr>
        <w:rPr>
          <w:lang w:val="fr-FR"/>
        </w:rPr>
      </w:pPr>
      <w:r w:rsidRPr="00182A40">
        <w:rPr>
          <w:lang w:val="fr-FR"/>
        </w:rPr>
        <w:t>S’assurer : i) que les responsabilités dans le cadre du programme sont efficacement soutenues et dotées de ressources et ii) que les politiques et les processus de soutien sont régulièrement mis à jour pour tenir compte des changements dans les meilleures pratiques de conformité à l’open source.</w:t>
      </w:r>
    </w:p>
    <w:p w14:paraId="29C020CE" w14:textId="7DC909B8" w:rsidR="00AB61D2" w:rsidRPr="00182A40" w:rsidRDefault="00726CF5" w:rsidP="004126AF">
      <w:pPr>
        <w:pStyle w:val="Heading2"/>
        <w:spacing w:line="240" w:lineRule="atLeast"/>
        <w:rPr>
          <w:lang w:val="fr-FR"/>
        </w:rPr>
      </w:pPr>
      <w:bookmarkStart w:id="41" w:name="_Toc457078800"/>
      <w:bookmarkStart w:id="42" w:name="_Toc5785630"/>
      <w:r w:rsidRPr="00182A40">
        <w:rPr>
          <w:lang w:val="fr-FR"/>
        </w:rPr>
        <w:t xml:space="preserve"> </w:t>
      </w:r>
      <w:bookmarkStart w:id="43" w:name="_Toc57210377"/>
      <w:r w:rsidR="00AB61D2" w:rsidRPr="00182A40">
        <w:rPr>
          <w:lang w:val="fr-FR"/>
        </w:rPr>
        <w:t>Examen et validation des contenus open source</w:t>
      </w:r>
      <w:bookmarkEnd w:id="41"/>
      <w:bookmarkEnd w:id="42"/>
      <w:bookmarkEnd w:id="43"/>
    </w:p>
    <w:p w14:paraId="4AB74DBC" w14:textId="07BCEDCC" w:rsidR="00AB61D2" w:rsidRPr="00182A40" w:rsidRDefault="00AB61D2" w:rsidP="00707647">
      <w:pPr>
        <w:pStyle w:val="Heading3"/>
        <w:rPr>
          <w:lang w:val="fr-FR"/>
        </w:rPr>
      </w:pPr>
      <w:bookmarkStart w:id="44" w:name="_Toc57210378"/>
      <w:r w:rsidRPr="00182A40">
        <w:rPr>
          <w:lang w:val="fr-FR"/>
        </w:rPr>
        <w:t>Liste des composants</w:t>
      </w:r>
      <w:bookmarkEnd w:id="44"/>
    </w:p>
    <w:p w14:paraId="752E0966" w14:textId="11626883" w:rsidR="00AB61D2" w:rsidRPr="00182A40" w:rsidRDefault="00AB61D2" w:rsidP="00707647">
      <w:pPr>
        <w:rPr>
          <w:lang w:val="fr-FR"/>
        </w:rPr>
      </w:pPr>
      <w:r w:rsidRPr="00182A40">
        <w:rPr>
          <w:lang w:val="fr-FR"/>
        </w:rPr>
        <w:t xml:space="preserve">Il doit exister une procédure pour créer et gérer une liste de composants qui inclut chacun des composants (et leurs licences associées) qui constituent le logiciel fourni. </w:t>
      </w:r>
    </w:p>
    <w:p w14:paraId="5A1A6173" w14:textId="49BB7765" w:rsidR="00AB61D2" w:rsidRPr="00182A40" w:rsidRDefault="00AB61D2" w:rsidP="004126AF">
      <w:pPr>
        <w:keepNext/>
        <w:keepLines/>
        <w:spacing w:after="100" w:afterAutospacing="1"/>
        <w:rPr>
          <w:b/>
          <w:bCs/>
          <w:lang w:val="fr-FR"/>
        </w:rPr>
      </w:pPr>
      <w:r w:rsidRPr="00182A40">
        <w:rPr>
          <w:b/>
          <w:bCs/>
          <w:lang w:val="fr-FR"/>
        </w:rPr>
        <w:t>Élément(s) de vérification :</w:t>
      </w:r>
    </w:p>
    <w:p w14:paraId="41195AF0" w14:textId="792C2A9A" w:rsidR="00AB61D2" w:rsidRPr="00182A40" w:rsidRDefault="00050B78" w:rsidP="004126AF">
      <w:pPr>
        <w:pStyle w:val="ListParagraph"/>
        <w:numPr>
          <w:ilvl w:val="0"/>
          <w:numId w:val="24"/>
        </w:numPr>
        <w:spacing w:after="100" w:afterAutospacing="1"/>
        <w:jc w:val="left"/>
        <w:rPr>
          <w:rFonts w:ascii="Cambria" w:hAnsi="Cambria"/>
          <w:lang w:val="fr-FR"/>
        </w:rPr>
      </w:pPr>
      <w:r w:rsidRPr="00182A40">
        <w:rPr>
          <w:rFonts w:ascii="Cambria" w:hAnsi="Cambria"/>
          <w:lang w:val="fr-FR"/>
        </w:rPr>
        <w:t>3.3.1.1 Une procédure documentée pour identifier, suivre, examiner, approuver et archiver les informations au sujet de l’ensemble des composants open source dont est composé le logiciel fourni.</w:t>
      </w:r>
    </w:p>
    <w:p w14:paraId="04C271B9" w14:textId="2E6B4298" w:rsidR="00AB61D2" w:rsidRPr="00182A40" w:rsidRDefault="00050B78" w:rsidP="004126AF">
      <w:pPr>
        <w:pStyle w:val="ListParagraph"/>
        <w:numPr>
          <w:ilvl w:val="0"/>
          <w:numId w:val="24"/>
        </w:numPr>
        <w:spacing w:after="240" w:line="240" w:lineRule="atLeast"/>
        <w:jc w:val="left"/>
        <w:rPr>
          <w:rFonts w:ascii="Cambria" w:hAnsi="Cambria"/>
          <w:lang w:val="fr-FR"/>
        </w:rPr>
      </w:pPr>
      <w:r w:rsidRPr="00182A40">
        <w:rPr>
          <w:rFonts w:ascii="Cambria" w:hAnsi="Cambria"/>
          <w:lang w:val="fr-FR"/>
        </w:rPr>
        <w:t>3.3.1.2 Des documents relatifs aux composants open source pour le logiciel fourni, montrant que la procédure documentée a été suivie correctement.</w:t>
      </w:r>
    </w:p>
    <w:p w14:paraId="10F90BA1" w14:textId="77777777" w:rsidR="00AB61D2" w:rsidRPr="00182A40" w:rsidRDefault="00AB61D2" w:rsidP="004126AF">
      <w:pPr>
        <w:keepNext/>
        <w:keepLines/>
        <w:spacing w:after="100" w:afterAutospacing="1"/>
        <w:rPr>
          <w:b/>
          <w:bCs/>
          <w:lang w:val="fr-FR"/>
        </w:rPr>
      </w:pPr>
      <w:r w:rsidRPr="00182A40">
        <w:rPr>
          <w:b/>
          <w:bCs/>
          <w:lang w:val="fr-FR"/>
        </w:rPr>
        <w:t>Raison :</w:t>
      </w:r>
    </w:p>
    <w:p w14:paraId="3D3FE3E6" w14:textId="4865EBA9" w:rsidR="00AB61D2" w:rsidRPr="00182A40" w:rsidRDefault="00AB61D2" w:rsidP="004126AF">
      <w:pPr>
        <w:rPr>
          <w:lang w:val="fr-FR"/>
        </w:rPr>
      </w:pPr>
      <w:r w:rsidRPr="00182A40">
        <w:rPr>
          <w:lang w:val="fr-FR"/>
        </w:rPr>
        <w:t xml:space="preserve">S’assurer qu’il existe une procédure pour créer et gérer une liste exhaustive des composants open source ayant servi à la réalisation du logiciel fourni. Une liste des composants est nécessaire à l’examen et l’approbation systématique des termes des licences de chacun des composants afin de comprendre les obligations et restrictions qui en découlent dans le cadre de la distribution du logiciel fourni. </w:t>
      </w:r>
    </w:p>
    <w:p w14:paraId="44312040" w14:textId="2344B676" w:rsidR="00AB61D2" w:rsidRPr="00182A40" w:rsidRDefault="00AB61D2" w:rsidP="004126AF">
      <w:pPr>
        <w:pStyle w:val="Heading3"/>
        <w:rPr>
          <w:lang w:val="fr-FR"/>
        </w:rPr>
      </w:pPr>
      <w:bookmarkStart w:id="45" w:name="_Ref11920309"/>
      <w:bookmarkStart w:id="46" w:name="_Toc57210379"/>
      <w:r w:rsidRPr="00182A40">
        <w:rPr>
          <w:lang w:val="fr-FR"/>
        </w:rPr>
        <w:t>Conformité aux licences</w:t>
      </w:r>
      <w:bookmarkEnd w:id="45"/>
      <w:bookmarkEnd w:id="46"/>
    </w:p>
    <w:p w14:paraId="2BAF0CBF" w14:textId="01F6967C" w:rsidR="00AB61D2" w:rsidRPr="00182A40" w:rsidRDefault="00AB61D2" w:rsidP="00707647">
      <w:pPr>
        <w:rPr>
          <w:lang w:val="fr-FR"/>
        </w:rPr>
      </w:pPr>
      <w:r w:rsidRPr="00182A40">
        <w:rPr>
          <w:lang w:val="fr-FR"/>
        </w:rPr>
        <w:t>Le programme doit être en mesure de gérer les cas d’usage de licences open source communes rencontrées par les participants au programme pour le logiciel fourni qui peuvent inclure les cas d’utilisation suivants (cette liste n’est pas exhaustive et tous les cas d’utilisations ne sont pas nécessairement applicables) :</w:t>
      </w:r>
    </w:p>
    <w:p w14:paraId="7588B886" w14:textId="35F9E490" w:rsidR="00AB61D2" w:rsidRPr="00182A40" w:rsidRDefault="00D066E9" w:rsidP="004126AF">
      <w:pPr>
        <w:pStyle w:val="ListParagraph"/>
        <w:numPr>
          <w:ilvl w:val="0"/>
          <w:numId w:val="40"/>
        </w:numPr>
        <w:jc w:val="left"/>
        <w:rPr>
          <w:rFonts w:ascii="Cambria" w:hAnsi="Cambria"/>
          <w:lang w:val="fr-FR"/>
        </w:rPr>
      </w:pPr>
      <w:r w:rsidRPr="00182A40">
        <w:rPr>
          <w:rFonts w:ascii="Cambria" w:hAnsi="Cambria"/>
          <w:lang w:val="fr-FR"/>
        </w:rPr>
        <w:t>distribué sous forme de binaire ;</w:t>
      </w:r>
    </w:p>
    <w:p w14:paraId="191BF547" w14:textId="0D90426C" w:rsidR="00AB61D2" w:rsidRPr="00182A40" w:rsidRDefault="00D066E9" w:rsidP="004126AF">
      <w:pPr>
        <w:pStyle w:val="ListParagraph"/>
        <w:numPr>
          <w:ilvl w:val="0"/>
          <w:numId w:val="40"/>
        </w:numPr>
        <w:jc w:val="left"/>
        <w:rPr>
          <w:rFonts w:ascii="Cambria" w:hAnsi="Cambria"/>
          <w:lang w:val="fr-FR"/>
        </w:rPr>
      </w:pPr>
      <w:r w:rsidRPr="00182A40">
        <w:rPr>
          <w:rFonts w:ascii="Cambria" w:hAnsi="Cambria"/>
          <w:lang w:val="fr-FR"/>
        </w:rPr>
        <w:t>distribué sous forme de code source ;</w:t>
      </w:r>
    </w:p>
    <w:p w14:paraId="609D5D5D" w14:textId="1C3FD794" w:rsidR="00AB61D2" w:rsidRPr="00182A40" w:rsidRDefault="00D066E9" w:rsidP="004126AF">
      <w:pPr>
        <w:pStyle w:val="ListParagraph"/>
        <w:numPr>
          <w:ilvl w:val="0"/>
          <w:numId w:val="40"/>
        </w:numPr>
        <w:jc w:val="left"/>
        <w:rPr>
          <w:rFonts w:ascii="Cambria" w:hAnsi="Cambria"/>
          <w:lang w:val="fr-FR"/>
        </w:rPr>
      </w:pPr>
      <w:r w:rsidRPr="00182A40">
        <w:rPr>
          <w:rFonts w:ascii="Cambria" w:hAnsi="Cambria"/>
          <w:lang w:val="fr-FR"/>
        </w:rPr>
        <w:t>intégré à d’autres logiciels open source de sorte qu’il entraîne des obligations supplémentaires en matière de licence ;</w:t>
      </w:r>
    </w:p>
    <w:p w14:paraId="101397F3" w14:textId="67FA0CB9" w:rsidR="00AB61D2" w:rsidRPr="00182A40" w:rsidRDefault="00D066E9" w:rsidP="004126AF">
      <w:pPr>
        <w:pStyle w:val="ListParagraph"/>
        <w:numPr>
          <w:ilvl w:val="0"/>
          <w:numId w:val="40"/>
        </w:numPr>
        <w:jc w:val="left"/>
        <w:rPr>
          <w:rFonts w:ascii="Cambria" w:hAnsi="Cambria"/>
          <w:lang w:val="fr-FR"/>
        </w:rPr>
      </w:pPr>
      <w:r w:rsidRPr="00182A40">
        <w:rPr>
          <w:rFonts w:ascii="Cambria" w:hAnsi="Cambria"/>
          <w:lang w:val="fr-FR"/>
        </w:rPr>
        <w:t>contient du code open source modifié ;</w:t>
      </w:r>
    </w:p>
    <w:p w14:paraId="5AB8EC9D" w14:textId="1B018DC0" w:rsidR="00AB61D2" w:rsidRPr="00182A40" w:rsidRDefault="00D066E9" w:rsidP="004126AF">
      <w:pPr>
        <w:pStyle w:val="ListParagraph"/>
        <w:numPr>
          <w:ilvl w:val="0"/>
          <w:numId w:val="40"/>
        </w:numPr>
        <w:jc w:val="left"/>
        <w:rPr>
          <w:rFonts w:ascii="Cambria" w:hAnsi="Cambria"/>
          <w:lang w:val="fr-FR"/>
        </w:rPr>
      </w:pPr>
      <w:r w:rsidRPr="00182A40">
        <w:rPr>
          <w:rFonts w:ascii="Cambria" w:hAnsi="Cambria"/>
          <w:lang w:val="fr-FR"/>
        </w:rPr>
        <w:t>contient du code open source ou du code diffusé sous une licence incompatible qui interagit avec d’autres composants du logiciel fourni ; ou</w:t>
      </w:r>
    </w:p>
    <w:p w14:paraId="035A2ABD" w14:textId="44335470" w:rsidR="00AB61D2" w:rsidRPr="00182A40" w:rsidRDefault="00D066E9" w:rsidP="004126AF">
      <w:pPr>
        <w:pStyle w:val="ListParagraph"/>
        <w:numPr>
          <w:ilvl w:val="0"/>
          <w:numId w:val="40"/>
        </w:numPr>
        <w:spacing w:after="240" w:line="240" w:lineRule="atLeast"/>
        <w:jc w:val="left"/>
        <w:rPr>
          <w:rFonts w:ascii="Cambria" w:hAnsi="Cambria"/>
          <w:lang w:val="fr-FR"/>
        </w:rPr>
      </w:pPr>
      <w:r w:rsidRPr="00182A40">
        <w:rPr>
          <w:rFonts w:ascii="Cambria" w:hAnsi="Cambria"/>
          <w:lang w:val="fr-FR"/>
        </w:rPr>
        <w:t>contient du code open source avec des exigences d’attribution.</w:t>
      </w:r>
    </w:p>
    <w:p w14:paraId="1AE91E86" w14:textId="1E7917B6" w:rsidR="00AB61D2" w:rsidRPr="00182A40" w:rsidRDefault="00AB61D2" w:rsidP="004126AF">
      <w:pPr>
        <w:keepNext/>
        <w:keepLines/>
        <w:spacing w:after="100" w:afterAutospacing="1"/>
        <w:rPr>
          <w:b/>
          <w:bCs/>
          <w:lang w:val="fr-FR"/>
        </w:rPr>
      </w:pPr>
      <w:r w:rsidRPr="00182A40">
        <w:rPr>
          <w:b/>
          <w:bCs/>
          <w:lang w:val="fr-FR"/>
        </w:rPr>
        <w:t>Élément(s) de vérification :</w:t>
      </w:r>
    </w:p>
    <w:p w14:paraId="7C44C17C" w14:textId="63E6833B" w:rsidR="00AB61D2" w:rsidRPr="00182A40" w:rsidRDefault="00050B78" w:rsidP="004126AF">
      <w:pPr>
        <w:pStyle w:val="ListParagraph"/>
        <w:numPr>
          <w:ilvl w:val="0"/>
          <w:numId w:val="24"/>
        </w:numPr>
        <w:spacing w:after="240" w:line="240" w:lineRule="atLeast"/>
        <w:jc w:val="left"/>
        <w:rPr>
          <w:rFonts w:ascii="Cambria" w:hAnsi="Cambria"/>
          <w:lang w:val="fr-FR"/>
        </w:rPr>
      </w:pPr>
      <w:r w:rsidRPr="00182A40">
        <w:rPr>
          <w:rFonts w:ascii="Cambria" w:hAnsi="Cambria"/>
          <w:lang w:val="fr-FR"/>
        </w:rPr>
        <w:t>3.3.2.1 Une procédure documentée pour traiter les cas de licence open source commune des composants open source des logiciels fournis.</w:t>
      </w:r>
    </w:p>
    <w:p w14:paraId="77238A11" w14:textId="77777777" w:rsidR="00AB61D2" w:rsidRPr="00182A40" w:rsidRDefault="00AB61D2" w:rsidP="00952169">
      <w:pPr>
        <w:keepNext/>
        <w:keepLines/>
        <w:spacing w:after="100" w:afterAutospacing="1"/>
        <w:rPr>
          <w:b/>
          <w:bCs/>
          <w:lang w:val="fr-FR"/>
        </w:rPr>
      </w:pPr>
      <w:r w:rsidRPr="00182A40">
        <w:rPr>
          <w:b/>
          <w:bCs/>
          <w:lang w:val="fr-FR"/>
        </w:rPr>
        <w:lastRenderedPageBreak/>
        <w:t>Raison :</w:t>
      </w:r>
    </w:p>
    <w:p w14:paraId="2974B6C6" w14:textId="0BBC04EF" w:rsidR="00AB61D2" w:rsidRPr="00182A40" w:rsidRDefault="00AB61D2" w:rsidP="004126AF">
      <w:pPr>
        <w:rPr>
          <w:lang w:val="fr-FR"/>
        </w:rPr>
      </w:pPr>
      <w:r w:rsidRPr="00182A40">
        <w:rPr>
          <w:lang w:val="fr-FR"/>
        </w:rPr>
        <w:t xml:space="preserve">S’assurer que le programme est suffisamment robuste pour traiter les cas d’utilisation de licences open source communes par l’organisation, qu’une procédure existe pour soutenir cette activité, et que cette procédure est suivie. </w:t>
      </w:r>
    </w:p>
    <w:p w14:paraId="750494EE" w14:textId="4827934A" w:rsidR="00E02537" w:rsidRPr="00182A40" w:rsidRDefault="00DC6913" w:rsidP="004126AF">
      <w:pPr>
        <w:pStyle w:val="Heading2"/>
        <w:spacing w:line="240" w:lineRule="atLeast"/>
        <w:rPr>
          <w:lang w:val="fr-FR"/>
        </w:rPr>
      </w:pPr>
      <w:bookmarkStart w:id="47" w:name="_Toc457078801"/>
      <w:bookmarkStart w:id="48" w:name="_Toc5785631"/>
      <w:r w:rsidRPr="00182A40">
        <w:rPr>
          <w:lang w:val="fr-FR"/>
        </w:rPr>
        <w:t xml:space="preserve"> </w:t>
      </w:r>
      <w:bookmarkStart w:id="49" w:name="_Toc57210380"/>
      <w:r w:rsidR="00E02537" w:rsidRPr="00182A40">
        <w:rPr>
          <w:lang w:val="fr-FR"/>
        </w:rPr>
        <w:t>Création et fourniture de livrables de conformité</w:t>
      </w:r>
      <w:bookmarkEnd w:id="47"/>
      <w:bookmarkEnd w:id="48"/>
      <w:bookmarkEnd w:id="49"/>
    </w:p>
    <w:p w14:paraId="4BD26C44" w14:textId="063E2CC3" w:rsidR="00E02537" w:rsidRPr="00182A40" w:rsidRDefault="00E02537" w:rsidP="004126AF">
      <w:pPr>
        <w:pStyle w:val="Heading3"/>
        <w:rPr>
          <w:lang w:val="fr-FR"/>
        </w:rPr>
      </w:pPr>
      <w:bookmarkStart w:id="50" w:name="_Toc57210381"/>
      <w:r w:rsidRPr="00182A40">
        <w:rPr>
          <w:lang w:val="fr-FR"/>
        </w:rPr>
        <w:t>Livrables de conformité</w:t>
      </w:r>
      <w:bookmarkEnd w:id="50"/>
    </w:p>
    <w:p w14:paraId="629045A4" w14:textId="1F76FC18" w:rsidR="00E02537" w:rsidRPr="00182A40" w:rsidRDefault="00E02537" w:rsidP="00707647">
      <w:pPr>
        <w:rPr>
          <w:lang w:val="fr-FR"/>
        </w:rPr>
      </w:pPr>
      <w:r w:rsidRPr="00182A40">
        <w:rPr>
          <w:lang w:val="fr-FR"/>
        </w:rPr>
        <w:t>Il doit exister un processus pour créer l’ensemble des livrables de conformité pour le logiciel fourni.</w:t>
      </w:r>
    </w:p>
    <w:p w14:paraId="6A989852" w14:textId="563A7F7B" w:rsidR="00E02537" w:rsidRPr="00182A40" w:rsidRDefault="00E02537" w:rsidP="004126AF">
      <w:pPr>
        <w:keepNext/>
        <w:keepLines/>
        <w:spacing w:after="100" w:afterAutospacing="1"/>
        <w:rPr>
          <w:b/>
          <w:bCs/>
          <w:lang w:val="fr-FR"/>
        </w:rPr>
      </w:pPr>
      <w:r w:rsidRPr="00182A40">
        <w:rPr>
          <w:b/>
          <w:bCs/>
          <w:lang w:val="fr-FR"/>
        </w:rPr>
        <w:t>Élément(s) de vérification :</w:t>
      </w:r>
    </w:p>
    <w:p w14:paraId="7B1871E1" w14:textId="1D454940" w:rsidR="00E02537" w:rsidRPr="00182A40" w:rsidRDefault="00050B78" w:rsidP="004126AF">
      <w:pPr>
        <w:pStyle w:val="ListParagraph"/>
        <w:numPr>
          <w:ilvl w:val="0"/>
          <w:numId w:val="24"/>
        </w:numPr>
        <w:spacing w:after="100" w:afterAutospacing="1"/>
        <w:jc w:val="left"/>
        <w:rPr>
          <w:rFonts w:ascii="Cambria" w:hAnsi="Cambria"/>
          <w:lang w:val="fr-FR"/>
        </w:rPr>
      </w:pPr>
      <w:r w:rsidRPr="00182A40">
        <w:rPr>
          <w:rFonts w:ascii="Cambria" w:hAnsi="Cambria"/>
          <w:lang w:val="fr-FR"/>
        </w:rPr>
        <w:t>3.4.1.1 Une procédure documentée qui décrit le processus selon lequel les livrables de conformité sont préparés et distribués avec le logiciel fourni comme requis par les licences identifiées.</w:t>
      </w:r>
    </w:p>
    <w:p w14:paraId="696A34E2" w14:textId="3849F6B6" w:rsidR="00E02537" w:rsidRPr="00182A40" w:rsidRDefault="00050B78" w:rsidP="00AE533A">
      <w:pPr>
        <w:pStyle w:val="ListParagraph"/>
        <w:numPr>
          <w:ilvl w:val="0"/>
          <w:numId w:val="24"/>
        </w:numPr>
        <w:spacing w:after="120"/>
        <w:jc w:val="left"/>
        <w:rPr>
          <w:rFonts w:ascii="Cambria" w:hAnsi="Cambria"/>
          <w:lang w:val="fr-FR"/>
        </w:rPr>
      </w:pPr>
      <w:r w:rsidRPr="00182A40">
        <w:rPr>
          <w:rFonts w:ascii="Cambria" w:hAnsi="Cambria"/>
          <w:lang w:val="fr-FR"/>
        </w:rPr>
        <w:t>3.4.1.2 Une procédure documentée pour archiver les copies des livrables de conformité du logiciel fourni qui prévoit une durée d’archivage raisonnable</w:t>
      </w:r>
      <w:r w:rsidR="00182A40" w:rsidRPr="00182A40">
        <w:rPr>
          <w:vertAlign w:val="superscript"/>
          <w:lang w:val="fr-FR"/>
        </w:rPr>
        <w:footnoteReference w:id="1"/>
      </w:r>
      <w:r w:rsidRPr="00182A40">
        <w:rPr>
          <w:rFonts w:ascii="Cambria" w:hAnsi="Cambria"/>
          <w:lang w:val="fr-FR"/>
        </w:rPr>
        <w:t xml:space="preserve"> depuis la précédente version du logiciel fourni ; ou une durée conforme aux exigences des licences identifiées (selon la durée la plus longue). Des documents prouvent que la procédure a été correctement suivie.</w:t>
      </w:r>
    </w:p>
    <w:p w14:paraId="67980A7D" w14:textId="77777777" w:rsidR="00E02537" w:rsidRPr="00182A40" w:rsidRDefault="00E02537" w:rsidP="004126AF">
      <w:pPr>
        <w:keepNext/>
        <w:keepLines/>
        <w:spacing w:after="100" w:afterAutospacing="1"/>
        <w:rPr>
          <w:b/>
          <w:bCs/>
          <w:lang w:val="fr-FR"/>
        </w:rPr>
      </w:pPr>
      <w:r w:rsidRPr="00182A40">
        <w:rPr>
          <w:b/>
          <w:bCs/>
          <w:lang w:val="fr-FR"/>
        </w:rPr>
        <w:t>Raison :</w:t>
      </w:r>
    </w:p>
    <w:p w14:paraId="4ED75E5C" w14:textId="3C1F3E7C" w:rsidR="00E02537" w:rsidRPr="00182A40" w:rsidRDefault="00E02537" w:rsidP="004126AF">
      <w:pPr>
        <w:rPr>
          <w:lang w:val="fr-FR"/>
        </w:rPr>
      </w:pPr>
      <w:r w:rsidRPr="00182A40">
        <w:rPr>
          <w:lang w:val="fr-FR"/>
        </w:rPr>
        <w:t>S’assurer que des efforts commerciaux raisonnables ont été déployés pour l’élaboration des livrables de conformité correspondant au logiciel fourni, comme l’exigent les licences identifiées.</w:t>
      </w:r>
    </w:p>
    <w:p w14:paraId="0568200A" w14:textId="6BC37EC3" w:rsidR="00A853DE" w:rsidRPr="00182A40" w:rsidRDefault="00952169" w:rsidP="004126AF">
      <w:pPr>
        <w:pStyle w:val="Heading2"/>
        <w:spacing w:line="240" w:lineRule="atLeast"/>
        <w:rPr>
          <w:lang w:val="fr-FR"/>
        </w:rPr>
      </w:pPr>
      <w:bookmarkStart w:id="51" w:name="_Toc457078802"/>
      <w:bookmarkStart w:id="52" w:name="_Toc5785632"/>
      <w:r w:rsidRPr="00182A40">
        <w:rPr>
          <w:lang w:val="fr-FR"/>
        </w:rPr>
        <w:t xml:space="preserve"> </w:t>
      </w:r>
      <w:bookmarkStart w:id="53" w:name="_Toc57210382"/>
      <w:r w:rsidR="00A853DE" w:rsidRPr="00182A40">
        <w:rPr>
          <w:lang w:val="fr-FR"/>
        </w:rPr>
        <w:t>Comprendre les engagements de la communauté open source</w:t>
      </w:r>
      <w:bookmarkEnd w:id="51"/>
      <w:bookmarkEnd w:id="52"/>
      <w:bookmarkEnd w:id="53"/>
    </w:p>
    <w:p w14:paraId="06A1C361" w14:textId="4A20882C" w:rsidR="00A853DE" w:rsidRPr="00182A40" w:rsidRDefault="00A853DE" w:rsidP="00707647">
      <w:pPr>
        <w:pStyle w:val="Heading3"/>
        <w:rPr>
          <w:lang w:val="fr-FR"/>
        </w:rPr>
      </w:pPr>
      <w:bookmarkStart w:id="54" w:name="_Toc57210383"/>
      <w:r w:rsidRPr="00182A40">
        <w:rPr>
          <w:lang w:val="fr-FR"/>
        </w:rPr>
        <w:t>Contributions</w:t>
      </w:r>
      <w:bookmarkEnd w:id="54"/>
    </w:p>
    <w:p w14:paraId="06D10602" w14:textId="38B47515" w:rsidR="00A853DE" w:rsidRPr="00182A40" w:rsidRDefault="00A853DE" w:rsidP="004126AF">
      <w:pPr>
        <w:spacing w:after="100" w:afterAutospacing="1"/>
        <w:rPr>
          <w:lang w:val="fr-FR"/>
        </w:rPr>
      </w:pPr>
      <w:r w:rsidRPr="00182A40">
        <w:rPr>
          <w:lang w:val="fr-FR"/>
        </w:rPr>
        <w:t xml:space="preserve">Si une organisation envisage de contribuer à des projets open source, alors </w:t>
      </w:r>
    </w:p>
    <w:p w14:paraId="1BE01CD2" w14:textId="5C68DB4A" w:rsidR="00A853DE" w:rsidRPr="00182A40" w:rsidRDefault="00A853DE" w:rsidP="004126AF">
      <w:pPr>
        <w:pStyle w:val="ListParagraph"/>
        <w:numPr>
          <w:ilvl w:val="0"/>
          <w:numId w:val="39"/>
        </w:numPr>
        <w:spacing w:after="100" w:afterAutospacing="1"/>
        <w:jc w:val="left"/>
        <w:rPr>
          <w:rFonts w:ascii="Cambria" w:hAnsi="Cambria"/>
          <w:lang w:val="fr-FR"/>
        </w:rPr>
      </w:pPr>
      <w:r w:rsidRPr="00182A40">
        <w:rPr>
          <w:rFonts w:ascii="Cambria" w:hAnsi="Cambria"/>
          <w:lang w:val="fr-FR"/>
        </w:rPr>
        <w:t xml:space="preserve">il doit exister une politique écrite qui régit les contributions aux projets open source ; </w:t>
      </w:r>
    </w:p>
    <w:p w14:paraId="7FBE7090" w14:textId="2187CBA8" w:rsidR="00A853DE" w:rsidRPr="00182A40" w:rsidRDefault="00A853DE" w:rsidP="004126AF">
      <w:pPr>
        <w:pStyle w:val="ListParagraph"/>
        <w:numPr>
          <w:ilvl w:val="0"/>
          <w:numId w:val="39"/>
        </w:numPr>
        <w:spacing w:after="240" w:line="240" w:lineRule="atLeast"/>
        <w:jc w:val="left"/>
        <w:rPr>
          <w:rFonts w:ascii="Cambria" w:hAnsi="Cambria"/>
          <w:lang w:val="fr-FR"/>
        </w:rPr>
      </w:pPr>
      <w:r w:rsidRPr="00182A40">
        <w:rPr>
          <w:rFonts w:ascii="Cambria" w:hAnsi="Cambria"/>
          <w:lang w:val="fr-FR"/>
        </w:rPr>
        <w:t>cette politique doit être communiquée en interne ; et</w:t>
      </w:r>
    </w:p>
    <w:p w14:paraId="47F14111" w14:textId="4BB6D595" w:rsidR="00A853DE" w:rsidRPr="00182A40" w:rsidRDefault="00A853DE" w:rsidP="004126AF">
      <w:pPr>
        <w:pStyle w:val="ListParagraph"/>
        <w:numPr>
          <w:ilvl w:val="0"/>
          <w:numId w:val="39"/>
        </w:numPr>
        <w:spacing w:after="240" w:line="240" w:lineRule="atLeast"/>
        <w:jc w:val="left"/>
        <w:rPr>
          <w:rFonts w:ascii="Cambria" w:hAnsi="Cambria"/>
          <w:lang w:val="fr-FR"/>
        </w:rPr>
      </w:pPr>
      <w:r w:rsidRPr="00182A40">
        <w:rPr>
          <w:rFonts w:ascii="Cambria" w:hAnsi="Cambria"/>
          <w:lang w:val="fr-FR"/>
        </w:rPr>
        <w:t xml:space="preserve">il doit exister un processus qui met en œuvre la politique </w:t>
      </w:r>
    </w:p>
    <w:p w14:paraId="53B0A56A" w14:textId="64D24FB3" w:rsidR="00A853DE" w:rsidRPr="00182A40" w:rsidRDefault="00A853DE" w:rsidP="004126AF">
      <w:pPr>
        <w:keepNext/>
        <w:keepLines/>
        <w:spacing w:after="100" w:afterAutospacing="1"/>
        <w:rPr>
          <w:b/>
          <w:bCs/>
          <w:lang w:val="fr-FR"/>
        </w:rPr>
      </w:pPr>
      <w:r w:rsidRPr="00182A40">
        <w:rPr>
          <w:b/>
          <w:bCs/>
          <w:lang w:val="fr-FR"/>
        </w:rPr>
        <w:t>Élément(s) de vérification :</w:t>
      </w:r>
    </w:p>
    <w:p w14:paraId="3AC6B2BE" w14:textId="5DD3E9FF" w:rsidR="00A853DE" w:rsidRPr="00182A40" w:rsidRDefault="00A853DE" w:rsidP="004126AF">
      <w:pPr>
        <w:spacing w:after="100" w:afterAutospacing="1"/>
        <w:rPr>
          <w:lang w:val="fr-FR"/>
        </w:rPr>
      </w:pPr>
      <w:r w:rsidRPr="00182A40">
        <w:rPr>
          <w:lang w:val="fr-FR"/>
        </w:rPr>
        <w:t>Si une organisation autorise les contributions à des projets open source, alors les documents suivants doivent exister :</w:t>
      </w:r>
    </w:p>
    <w:p w14:paraId="73C3F7B1" w14:textId="5B635A69" w:rsidR="00A853DE" w:rsidRPr="00182A40" w:rsidRDefault="00050B78" w:rsidP="004126AF">
      <w:pPr>
        <w:pStyle w:val="ListParagraph"/>
        <w:numPr>
          <w:ilvl w:val="0"/>
          <w:numId w:val="24"/>
        </w:numPr>
        <w:spacing w:after="100" w:afterAutospacing="1"/>
        <w:jc w:val="left"/>
        <w:rPr>
          <w:rFonts w:ascii="Cambria" w:hAnsi="Cambria"/>
          <w:lang w:val="fr-FR"/>
        </w:rPr>
      </w:pPr>
      <w:r w:rsidRPr="00182A40">
        <w:rPr>
          <w:rFonts w:ascii="Cambria" w:hAnsi="Cambria"/>
          <w:lang w:val="fr-FR"/>
        </w:rPr>
        <w:t>3.5.1.1 une politique de contribution open source documentée ;</w:t>
      </w:r>
    </w:p>
    <w:p w14:paraId="400224E1" w14:textId="0D90679B" w:rsidR="00A853DE" w:rsidRPr="00182A40" w:rsidRDefault="00050B78" w:rsidP="00683AE6">
      <w:pPr>
        <w:pStyle w:val="ListParagraph"/>
        <w:numPr>
          <w:ilvl w:val="0"/>
          <w:numId w:val="24"/>
        </w:numPr>
        <w:spacing w:after="120"/>
        <w:jc w:val="left"/>
        <w:rPr>
          <w:rFonts w:ascii="Cambria" w:hAnsi="Cambria"/>
          <w:lang w:val="fr-FR"/>
        </w:rPr>
      </w:pPr>
      <w:r w:rsidRPr="00182A40">
        <w:rPr>
          <w:rFonts w:ascii="Cambria" w:hAnsi="Cambria"/>
          <w:lang w:val="fr-FR"/>
        </w:rPr>
        <w:t>3.5.1.2 Une procédure documentée qui encadre les contributions open source ; et</w:t>
      </w:r>
    </w:p>
    <w:p w14:paraId="2D4DB504" w14:textId="15ACEFDE" w:rsidR="00A853DE" w:rsidRPr="00182A40" w:rsidRDefault="00050B78" w:rsidP="004126AF">
      <w:pPr>
        <w:pStyle w:val="ListParagraph"/>
        <w:numPr>
          <w:ilvl w:val="0"/>
          <w:numId w:val="24"/>
        </w:numPr>
        <w:spacing w:after="240" w:line="240" w:lineRule="atLeast"/>
        <w:jc w:val="left"/>
        <w:rPr>
          <w:rFonts w:ascii="Cambria" w:hAnsi="Cambria"/>
          <w:lang w:val="fr-FR"/>
        </w:rPr>
      </w:pPr>
      <w:r w:rsidRPr="00182A40">
        <w:rPr>
          <w:rFonts w:ascii="Cambria" w:hAnsi="Cambria"/>
          <w:lang w:val="fr-FR"/>
        </w:rPr>
        <w:t>3.5.1.3 Une procédure documentée qui informe tous les participants au programme de l’existence de la politique de contribution open source (par des formations, un wiki interne ou tout autre moyen de communication).</w:t>
      </w:r>
    </w:p>
    <w:p w14:paraId="651F078D" w14:textId="0B337590" w:rsidR="00A853DE" w:rsidRPr="00182A40" w:rsidRDefault="00A853DE" w:rsidP="004126AF">
      <w:pPr>
        <w:keepNext/>
        <w:keepLines/>
        <w:spacing w:after="100" w:afterAutospacing="1"/>
        <w:rPr>
          <w:b/>
          <w:bCs/>
          <w:lang w:val="fr-FR"/>
        </w:rPr>
      </w:pPr>
      <w:r w:rsidRPr="00182A40">
        <w:rPr>
          <w:b/>
          <w:bCs/>
          <w:lang w:val="fr-FR"/>
        </w:rPr>
        <w:t>Raison :</w:t>
      </w:r>
    </w:p>
    <w:p w14:paraId="7271A142" w14:textId="4715FE12" w:rsidR="00A853DE" w:rsidRPr="00182A40" w:rsidRDefault="00A853DE" w:rsidP="004126AF">
      <w:pPr>
        <w:rPr>
          <w:lang w:val="fr-FR"/>
        </w:rPr>
      </w:pPr>
      <w:r w:rsidRPr="00182A40">
        <w:rPr>
          <w:lang w:val="fr-FR"/>
        </w:rPr>
        <w:t>Lorsqu’une organisation autorise les contributions open source, l’intention est que l’organisation ait accordé une attention raisonnable à l’élaboration et la mise en œuvre d’une politique de contribution. Cette politique de contribution open source peut être intégrée à la politique générale open source ou constituer une politique distincte.</w:t>
      </w:r>
    </w:p>
    <w:p w14:paraId="40CEA616" w14:textId="2054A070" w:rsidR="00706F75" w:rsidRPr="00182A40" w:rsidRDefault="003E4198" w:rsidP="004126AF">
      <w:pPr>
        <w:pStyle w:val="Heading2"/>
        <w:spacing w:line="240" w:lineRule="atLeast"/>
        <w:rPr>
          <w:lang w:val="fr-FR"/>
        </w:rPr>
      </w:pPr>
      <w:bookmarkStart w:id="55" w:name="_Toc5785633"/>
      <w:bookmarkStart w:id="56" w:name="_Ref11920822"/>
      <w:r w:rsidRPr="00182A40">
        <w:rPr>
          <w:lang w:val="fr-FR"/>
        </w:rPr>
        <w:lastRenderedPageBreak/>
        <w:t xml:space="preserve"> </w:t>
      </w:r>
      <w:bookmarkStart w:id="57" w:name="_Toc57210384"/>
      <w:r w:rsidR="00706F75" w:rsidRPr="00182A40">
        <w:rPr>
          <w:lang w:val="fr-FR"/>
        </w:rPr>
        <w:t>Conformité aux exigences de la spécification</w:t>
      </w:r>
      <w:bookmarkEnd w:id="55"/>
      <w:bookmarkEnd w:id="56"/>
      <w:bookmarkEnd w:id="57"/>
    </w:p>
    <w:p w14:paraId="52C65EED" w14:textId="05AB6B83" w:rsidR="00706F75" w:rsidRPr="00182A40" w:rsidRDefault="00706F75" w:rsidP="00707647">
      <w:pPr>
        <w:pStyle w:val="Heading3"/>
        <w:rPr>
          <w:lang w:val="fr-FR"/>
        </w:rPr>
      </w:pPr>
      <w:bookmarkStart w:id="58" w:name="_Toc57210385"/>
      <w:r w:rsidRPr="00182A40">
        <w:rPr>
          <w:lang w:val="fr-FR"/>
        </w:rPr>
        <w:t>Conformité</w:t>
      </w:r>
      <w:bookmarkEnd w:id="58"/>
    </w:p>
    <w:p w14:paraId="1F348823" w14:textId="51AAFD55" w:rsidR="00706F75" w:rsidRPr="00182A40" w:rsidRDefault="00706F75" w:rsidP="00707647">
      <w:pPr>
        <w:rPr>
          <w:lang w:val="fr-FR"/>
        </w:rPr>
      </w:pPr>
      <w:r w:rsidRPr="00182A40">
        <w:rPr>
          <w:lang w:val="fr-FR"/>
        </w:rPr>
        <w:t xml:space="preserve">Pour qu’un programme soit jugé conforme à </w:t>
      </w:r>
      <w:proofErr w:type="spellStart"/>
      <w:r w:rsidRPr="00182A40">
        <w:rPr>
          <w:lang w:val="fr-FR"/>
        </w:rPr>
        <w:t>OpenChain</w:t>
      </w:r>
      <w:proofErr w:type="spellEnd"/>
      <w:r w:rsidRPr="00182A40">
        <w:rPr>
          <w:lang w:val="fr-FR"/>
        </w:rPr>
        <w:t>, l’organisation doit attester que le programme satisfait aux exigences présentées dans ce document.</w:t>
      </w:r>
    </w:p>
    <w:p w14:paraId="5AEF7E30" w14:textId="098CB995" w:rsidR="00706F75" w:rsidRPr="00182A40" w:rsidRDefault="00706F75" w:rsidP="004126AF">
      <w:pPr>
        <w:keepNext/>
        <w:keepLines/>
        <w:spacing w:after="100" w:afterAutospacing="1"/>
        <w:rPr>
          <w:b/>
          <w:bCs/>
          <w:lang w:val="fr-FR"/>
        </w:rPr>
      </w:pPr>
      <w:r w:rsidRPr="00182A40">
        <w:rPr>
          <w:b/>
          <w:bCs/>
          <w:lang w:val="fr-FR"/>
        </w:rPr>
        <w:t>Élément(s) de vérification :</w:t>
      </w:r>
    </w:p>
    <w:p w14:paraId="30C8DAA5" w14:textId="6A58AB97" w:rsidR="00706F75" w:rsidRPr="00182A40" w:rsidRDefault="00050B78" w:rsidP="004126AF">
      <w:pPr>
        <w:pStyle w:val="ListParagraph"/>
        <w:numPr>
          <w:ilvl w:val="0"/>
          <w:numId w:val="24"/>
        </w:numPr>
        <w:spacing w:after="240" w:line="240" w:lineRule="atLeast"/>
        <w:jc w:val="left"/>
        <w:rPr>
          <w:rFonts w:ascii="Cambria" w:hAnsi="Cambria"/>
          <w:lang w:val="fr-FR"/>
        </w:rPr>
      </w:pPr>
      <w:r w:rsidRPr="00182A40">
        <w:rPr>
          <w:rFonts w:ascii="Cambria" w:hAnsi="Cambria"/>
          <w:lang w:val="fr-FR"/>
        </w:rPr>
        <w:t>3.6.1.1 Un document affirmant que le programme spécifié au §3.1.4 satisfait à toutes les exigences de ce document.</w:t>
      </w:r>
      <w:r w:rsidR="00197170" w:rsidRPr="00182A40">
        <w:rPr>
          <w:rFonts w:ascii="Cambria" w:hAnsi="Cambria"/>
          <w:lang w:val="fr-FR"/>
        </w:rPr>
        <w:fldChar w:fldCharType="begin"/>
      </w:r>
      <w:r w:rsidR="00197170" w:rsidRPr="00182A40">
        <w:rPr>
          <w:rFonts w:ascii="Cambria" w:hAnsi="Cambria"/>
          <w:lang w:val="fr-FR"/>
        </w:rPr>
        <w:instrText xml:space="preserve"> REF _Ref11920412 \r \h </w:instrText>
      </w:r>
      <w:r w:rsidR="002C76CD" w:rsidRPr="00182A40">
        <w:rPr>
          <w:rFonts w:ascii="Cambria" w:hAnsi="Cambria"/>
          <w:lang w:val="fr-FR"/>
        </w:rPr>
        <w:instrText xml:space="preserve"> \* MERGEFORMAT </w:instrText>
      </w:r>
      <w:r w:rsidR="00197170" w:rsidRPr="00182A40">
        <w:rPr>
          <w:rFonts w:ascii="Cambria" w:hAnsi="Cambria"/>
          <w:lang w:val="fr-FR"/>
        </w:rPr>
      </w:r>
      <w:r w:rsidR="00197170" w:rsidRPr="00182A40">
        <w:rPr>
          <w:rFonts w:ascii="Cambria" w:hAnsi="Cambria"/>
          <w:lang w:val="fr-FR"/>
        </w:rPr>
        <w:fldChar w:fldCharType="end"/>
      </w:r>
    </w:p>
    <w:p w14:paraId="455CFCF4" w14:textId="77777777" w:rsidR="00706F75" w:rsidRPr="00182A40" w:rsidRDefault="00706F75" w:rsidP="004126AF">
      <w:pPr>
        <w:keepNext/>
        <w:keepLines/>
        <w:spacing w:after="100" w:afterAutospacing="1"/>
        <w:rPr>
          <w:b/>
          <w:bCs/>
          <w:lang w:val="fr-FR"/>
        </w:rPr>
      </w:pPr>
      <w:r w:rsidRPr="00182A40">
        <w:rPr>
          <w:b/>
          <w:bCs/>
          <w:lang w:val="fr-FR"/>
        </w:rPr>
        <w:t>Raison :</w:t>
      </w:r>
    </w:p>
    <w:p w14:paraId="1B60F356" w14:textId="283FB6DF" w:rsidR="00706F75" w:rsidRPr="00182A40" w:rsidRDefault="00706F75" w:rsidP="003E4198">
      <w:pPr>
        <w:rPr>
          <w:lang w:val="fr-FR"/>
        </w:rPr>
      </w:pPr>
      <w:r w:rsidRPr="00182A40">
        <w:rPr>
          <w:lang w:val="fr-FR"/>
        </w:rPr>
        <w:t xml:space="preserve">S’assurer que, si une organisation déclare disposer d’un programme conforme à </w:t>
      </w:r>
      <w:proofErr w:type="spellStart"/>
      <w:r w:rsidRPr="00182A40">
        <w:rPr>
          <w:lang w:val="fr-FR"/>
        </w:rPr>
        <w:t>OpenChain</w:t>
      </w:r>
      <w:proofErr w:type="spellEnd"/>
      <w:r w:rsidRPr="00182A40">
        <w:rPr>
          <w:lang w:val="fr-FR"/>
        </w:rPr>
        <w:t xml:space="preserve">, ce programme répond effectivement à l’ensemble des exigences de la présente spécification. Le simple respect d’un sous-ensemble de ces exigences n’est pas considéré comme suffisant. </w:t>
      </w:r>
    </w:p>
    <w:p w14:paraId="007DFB91" w14:textId="42FAE24A" w:rsidR="00706F75" w:rsidRPr="00182A40" w:rsidRDefault="00706F75" w:rsidP="003E4198">
      <w:pPr>
        <w:pStyle w:val="Heading3"/>
        <w:rPr>
          <w:lang w:val="fr-FR"/>
        </w:rPr>
      </w:pPr>
      <w:bookmarkStart w:id="59" w:name="_Toc57210386"/>
      <w:r w:rsidRPr="00182A40">
        <w:rPr>
          <w:lang w:val="fr-FR"/>
        </w:rPr>
        <w:t>Durée</w:t>
      </w:r>
      <w:bookmarkEnd w:id="59"/>
    </w:p>
    <w:p w14:paraId="7C28907C" w14:textId="0F6435E3" w:rsidR="00706F75" w:rsidRPr="00182A40" w:rsidRDefault="00706F75" w:rsidP="00707647">
      <w:pPr>
        <w:rPr>
          <w:lang w:val="fr-FR"/>
        </w:rPr>
      </w:pPr>
      <w:r w:rsidRPr="00182A40">
        <w:rPr>
          <w:lang w:val="fr-FR"/>
        </w:rPr>
        <w:t xml:space="preserve">Un programme conforme à cette version de la spécification </w:t>
      </w:r>
      <w:proofErr w:type="spellStart"/>
      <w:r w:rsidRPr="00182A40">
        <w:rPr>
          <w:lang w:val="fr-FR"/>
        </w:rPr>
        <w:t>OpenChain</w:t>
      </w:r>
      <w:proofErr w:type="spellEnd"/>
      <w:r w:rsidRPr="00182A40">
        <w:rPr>
          <w:lang w:val="fr-FR"/>
        </w:rPr>
        <w:t xml:space="preserve"> doit durer 18 mois à compter de la date de validation de la conformité. La procédure d’enregistrement de la validation de la conformité est disponible sur le site web du projet </w:t>
      </w:r>
      <w:proofErr w:type="spellStart"/>
      <w:r w:rsidRPr="00182A40">
        <w:rPr>
          <w:lang w:val="fr-FR"/>
        </w:rPr>
        <w:t>OpenChain</w:t>
      </w:r>
      <w:proofErr w:type="spellEnd"/>
      <w:r w:rsidRPr="00182A40">
        <w:rPr>
          <w:lang w:val="fr-FR"/>
        </w:rPr>
        <w:t xml:space="preserve">. </w:t>
      </w:r>
    </w:p>
    <w:p w14:paraId="045ADF97" w14:textId="1638E9A1" w:rsidR="00706F75" w:rsidRPr="00182A40" w:rsidRDefault="00706F75" w:rsidP="004126AF">
      <w:pPr>
        <w:keepNext/>
        <w:keepLines/>
        <w:spacing w:after="100" w:afterAutospacing="1"/>
        <w:rPr>
          <w:b/>
          <w:bCs/>
          <w:lang w:val="fr-FR"/>
        </w:rPr>
      </w:pPr>
      <w:r w:rsidRPr="00182A40">
        <w:rPr>
          <w:b/>
          <w:bCs/>
          <w:lang w:val="fr-FR"/>
        </w:rPr>
        <w:t>Élément(s) de vérification :</w:t>
      </w:r>
    </w:p>
    <w:p w14:paraId="2D405F0D" w14:textId="66BBB92A" w:rsidR="00706F75" w:rsidRPr="00182A40" w:rsidRDefault="00050B78" w:rsidP="004126AF">
      <w:pPr>
        <w:pStyle w:val="ListParagraph"/>
        <w:numPr>
          <w:ilvl w:val="0"/>
          <w:numId w:val="24"/>
        </w:numPr>
        <w:spacing w:after="100" w:afterAutospacing="1"/>
        <w:jc w:val="left"/>
        <w:rPr>
          <w:rFonts w:ascii="Cambria" w:hAnsi="Cambria"/>
          <w:lang w:val="fr-FR"/>
        </w:rPr>
      </w:pPr>
      <w:r w:rsidRPr="00182A40">
        <w:rPr>
          <w:rFonts w:ascii="Cambria" w:hAnsi="Cambria"/>
          <w:lang w:val="fr-FR"/>
        </w:rPr>
        <w:t>3.6.2.1 Un document attestant que le programme répond à toutes les exigences de ce document, dans les 18 derniers mois suivant l’obtention de la validation de conformité.</w:t>
      </w:r>
    </w:p>
    <w:p w14:paraId="0D927A5B" w14:textId="77777777" w:rsidR="00706F75" w:rsidRPr="00182A40" w:rsidRDefault="00706F75" w:rsidP="004126AF">
      <w:pPr>
        <w:keepNext/>
        <w:keepLines/>
        <w:spacing w:after="100" w:afterAutospacing="1"/>
        <w:rPr>
          <w:b/>
          <w:bCs/>
          <w:lang w:val="fr-FR"/>
        </w:rPr>
      </w:pPr>
      <w:r w:rsidRPr="00182A40">
        <w:rPr>
          <w:b/>
          <w:bCs/>
          <w:lang w:val="fr-FR"/>
        </w:rPr>
        <w:t>Raison :</w:t>
      </w:r>
    </w:p>
    <w:p w14:paraId="476C9D25" w14:textId="14D7DC6E" w:rsidR="00706F75" w:rsidRPr="00182A40" w:rsidRDefault="00706F75" w:rsidP="004126AF">
      <w:pPr>
        <w:spacing w:after="100" w:afterAutospacing="1"/>
        <w:rPr>
          <w:lang w:val="fr-FR"/>
        </w:rPr>
      </w:pPr>
      <w:r w:rsidRPr="00182A40">
        <w:rPr>
          <w:lang w:val="fr-FR"/>
        </w:rPr>
        <w:t>Il est important qu’un programme reste conforme aux spécifications si une organisation veut affirmer sa conformité dans la durée. Cette exigence garantit que les processus et contrôles de soutien du programme ne se dégradent pas pour qu’une organisation continue à affirmer la conformité du programme dans la durée.</w:t>
      </w:r>
    </w:p>
    <w:p w14:paraId="627CE34B" w14:textId="066B3752" w:rsidR="001A33D0" w:rsidRPr="00182A40" w:rsidRDefault="001A33D0" w:rsidP="002651C0">
      <w:pPr>
        <w:pStyle w:val="ANNEX"/>
        <w:numPr>
          <w:ilvl w:val="0"/>
          <w:numId w:val="3"/>
        </w:numPr>
        <w:spacing w:after="240" w:line="240" w:lineRule="atLeast"/>
        <w:rPr>
          <w:lang w:val="fr-FR"/>
        </w:rPr>
      </w:pPr>
      <w:bookmarkStart w:id="60" w:name="_Toc450303222"/>
      <w:bookmarkStart w:id="61" w:name="_Toc9996972"/>
      <w:bookmarkStart w:id="62" w:name="_Toc438968655"/>
      <w:bookmarkStart w:id="63" w:name="_Toc443461103"/>
      <w:bookmarkStart w:id="64" w:name="_Toc353342675"/>
      <w:r w:rsidRPr="00182A40">
        <w:rPr>
          <w:lang w:val="fr-FR"/>
        </w:rPr>
        <w:lastRenderedPageBreak/>
        <w:br/>
      </w:r>
      <w:bookmarkStart w:id="65" w:name="_Toc57210387"/>
      <w:r w:rsidRPr="00182A40">
        <w:rPr>
          <w:b w:val="0"/>
          <w:lang w:val="fr-FR"/>
        </w:rPr>
        <w:t>(informatif)</w:t>
      </w:r>
      <w:bookmarkEnd w:id="60"/>
      <w:bookmarkEnd w:id="61"/>
      <w:bookmarkEnd w:id="62"/>
      <w:bookmarkEnd w:id="63"/>
      <w:bookmarkEnd w:id="64"/>
      <w:r w:rsidRPr="00182A40">
        <w:rPr>
          <w:lang w:val="fr-FR"/>
        </w:rPr>
        <w:br/>
      </w:r>
      <w:r w:rsidRPr="00182A40">
        <w:rPr>
          <w:lang w:val="fr-FR"/>
        </w:rPr>
        <w:br/>
      </w:r>
      <w:r w:rsidR="00663F0B" w:rsidRPr="00182A40">
        <w:rPr>
          <w:lang w:val="fr-FR"/>
        </w:rPr>
        <w:t>Traductions de cette spécification</w:t>
      </w:r>
      <w:bookmarkEnd w:id="65"/>
    </w:p>
    <w:p w14:paraId="2634AA95" w14:textId="31C0C9B0" w:rsidR="00663F0B" w:rsidRPr="00182A40" w:rsidRDefault="00663F0B" w:rsidP="002651C0">
      <w:pPr>
        <w:spacing w:before="60"/>
        <w:rPr>
          <w:lang w:val="fr-FR"/>
        </w:rPr>
      </w:pPr>
      <w:r w:rsidRPr="00182A40">
        <w:rPr>
          <w:rFonts w:cs="Arial"/>
          <w:shd w:val="clear" w:color="auto" w:fill="FFFFFF"/>
          <w:lang w:val="fr-FR"/>
        </w:rPr>
        <w:t xml:space="preserve">Afin de faciliter son adoption mondiale, les efforts de traduction de la spécification dans différentes langues sont encouragés. </w:t>
      </w:r>
      <w:proofErr w:type="spellStart"/>
      <w:r w:rsidRPr="00182A40">
        <w:rPr>
          <w:rFonts w:cs="Arial"/>
          <w:shd w:val="clear" w:color="auto" w:fill="FFFFFF"/>
          <w:lang w:val="fr-FR"/>
        </w:rPr>
        <w:t>OpenChain</w:t>
      </w:r>
      <w:proofErr w:type="spellEnd"/>
      <w:r w:rsidRPr="00182A40">
        <w:rPr>
          <w:rFonts w:cs="Arial"/>
          <w:shd w:val="clear" w:color="auto" w:fill="FFFFFF"/>
          <w:lang w:val="fr-FR"/>
        </w:rPr>
        <w:t xml:space="preserve"> fonctionne comme un projet open source. Les traductions sont assurées par ceux qui souhaitent fournir du temps et de l’expertise à leur élaboration. Les traductions sont i) proposées selon les termes de la licence CC-BY-4.0 et ii) en accord avec la politique de traduction du projet. Les détails de cette politique ainsi que les traductions disponibles peuvent être trouvés sur le wiki du projet </w:t>
      </w:r>
      <w:proofErr w:type="spellStart"/>
      <w:r w:rsidRPr="00182A40">
        <w:rPr>
          <w:rFonts w:cs="Arial"/>
          <w:shd w:val="clear" w:color="auto" w:fill="FFFFFF"/>
          <w:lang w:val="fr-FR"/>
        </w:rPr>
        <w:t>OpenChain</w:t>
      </w:r>
      <w:proofErr w:type="spellEnd"/>
      <w:r w:rsidRPr="00182A40">
        <w:rPr>
          <w:rFonts w:cs="Arial"/>
          <w:shd w:val="clear" w:color="auto" w:fill="FFFFFF"/>
          <w:lang w:val="fr-FR"/>
        </w:rPr>
        <w:t>.</w:t>
      </w:r>
      <w:hyperlink r:id="rId24" w:history="1"/>
    </w:p>
    <w:p w14:paraId="0332E405" w14:textId="38BBB4AA" w:rsidR="00C545F9" w:rsidRPr="00182A40" w:rsidRDefault="00C545F9">
      <w:pPr>
        <w:rPr>
          <w:lang w:val="fr-FR"/>
        </w:rPr>
      </w:pPr>
    </w:p>
    <w:sectPr w:rsidR="00C545F9" w:rsidRPr="00182A40" w:rsidSect="004E4F09">
      <w:footerReference w:type="even" r:id="rId25"/>
      <w:footerReference w:type="default" r:id="rId26"/>
      <w:type w:val="oddPage"/>
      <w:pgSz w:w="12240" w:h="15840" w:code="1"/>
      <w:pgMar w:top="864" w:right="1080" w:bottom="864" w:left="1080"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A5091" w14:textId="77777777" w:rsidR="00BB1C24" w:rsidRDefault="00BB1C24">
      <w:pPr>
        <w:spacing w:after="0" w:line="240" w:lineRule="auto"/>
      </w:pPr>
      <w:r>
        <w:separator/>
      </w:r>
    </w:p>
  </w:endnote>
  <w:endnote w:type="continuationSeparator" w:id="0">
    <w:p w14:paraId="011D0E89" w14:textId="77777777" w:rsidR="00BB1C24" w:rsidRDefault="00BB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3A3AA" w14:textId="38A74224" w:rsidR="00004B40" w:rsidRPr="002F00A7" w:rsidRDefault="00004B40" w:rsidP="00526284">
    <w:pPr>
      <w:pStyle w:val="Footer"/>
      <w:spacing w:line="240" w:lineRule="exact"/>
      <w:rPr>
        <w:sz w:val="20"/>
        <w:lang w:val="fr-FR"/>
      </w:rPr>
    </w:pPr>
    <w:r w:rsidRPr="006E50E0">
      <w:rPr>
        <w:sz w:val="20"/>
      </w:rPr>
      <w:fldChar w:fldCharType="begin"/>
    </w:r>
    <w:r w:rsidRPr="002F00A7">
      <w:rPr>
        <w:sz w:val="20"/>
        <w:lang w:val="fr-FR"/>
      </w:rPr>
      <w:instrText xml:space="preserve"> PAGE   \* MERGEFORMAT </w:instrText>
    </w:r>
    <w:r w:rsidRPr="006E50E0">
      <w:rPr>
        <w:sz w:val="20"/>
      </w:rPr>
      <w:fldChar w:fldCharType="separate"/>
    </w:r>
    <w:r w:rsidR="00CB2B6D" w:rsidRPr="002F00A7">
      <w:rPr>
        <w:noProof/>
        <w:sz w:val="20"/>
        <w:lang w:val="fr-FR"/>
      </w:rPr>
      <w:t>iv</w:t>
    </w:r>
    <w:r w:rsidRPr="006E50E0">
      <w:rPr>
        <w:sz w:val="20"/>
      </w:rPr>
      <w:fldChar w:fldCharType="end"/>
    </w:r>
    <w:r w:rsidRPr="002F00A7">
      <w:rPr>
        <w:sz w:val="20"/>
        <w:lang w:val="fr-FR"/>
      </w:rPr>
      <w:tab/>
    </w:r>
    <w:r w:rsidR="00923F27" w:rsidRPr="002F00A7">
      <w:rPr>
        <w:sz w:val="20"/>
        <w:lang w:val="fr-FR"/>
      </w:rPr>
      <w:t>© Joint Development Foundation 2020 - Pour en savoir plus et s’auto-certifier, voir www.openchainproject.org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764C3" w14:textId="039315EF" w:rsidR="00004B40" w:rsidRPr="002F00A7" w:rsidRDefault="00004B40" w:rsidP="00526284">
    <w:pPr>
      <w:pStyle w:val="Footer"/>
      <w:spacing w:line="240" w:lineRule="atLeast"/>
      <w:rPr>
        <w:sz w:val="20"/>
        <w:lang w:val="fr-FR"/>
      </w:rPr>
    </w:pPr>
    <w:r w:rsidRPr="002F00A7">
      <w:rPr>
        <w:sz w:val="20"/>
        <w:lang w:val="fr-FR"/>
      </w:rPr>
      <w:t xml:space="preserve">© Joint Development Foundation 2020 - Pour en savoir plus et s’auto-certifier, voir </w:t>
    </w:r>
    <w:hyperlink r:id="rId1" w:history="1">
      <w:r w:rsidRPr="00CC75E3">
        <w:rPr>
          <w:rStyle w:val="Hyperlink"/>
          <w:sz w:val="20"/>
        </w:rPr>
        <w:t>www.openchainproject.org</w:t>
      </w:r>
    </w:hyperlink>
    <w:r w:rsidRPr="002F00A7">
      <w:rPr>
        <w:sz w:val="20"/>
        <w:lang w:val="fr-FR"/>
      </w:rPr>
      <w:tab/>
    </w:r>
    <w:r w:rsidRPr="006E50E0">
      <w:rPr>
        <w:sz w:val="20"/>
      </w:rPr>
      <w:fldChar w:fldCharType="begin"/>
    </w:r>
    <w:r w:rsidRPr="002F00A7">
      <w:rPr>
        <w:sz w:val="20"/>
        <w:lang w:val="fr-FR"/>
      </w:rPr>
      <w:instrText xml:space="preserve"> PAGE   \* MERGEFORMAT </w:instrText>
    </w:r>
    <w:r w:rsidRPr="006E50E0">
      <w:rPr>
        <w:sz w:val="20"/>
      </w:rPr>
      <w:fldChar w:fldCharType="separate"/>
    </w:r>
    <w:r w:rsidR="00CB2B6D" w:rsidRPr="002F00A7">
      <w:rPr>
        <w:noProof/>
        <w:sz w:val="20"/>
        <w:lang w:val="fr-FR"/>
      </w:rPr>
      <w:t>v</w:t>
    </w:r>
    <w:r w:rsidRPr="006E50E0">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8EEBF" w14:textId="4EA2301E" w:rsidR="00004B40" w:rsidRPr="002F00A7" w:rsidRDefault="00004B40" w:rsidP="004421EF">
    <w:pPr>
      <w:pStyle w:val="Footer"/>
      <w:spacing w:before="240" w:line="240" w:lineRule="exact"/>
      <w:rPr>
        <w:sz w:val="20"/>
        <w:lang w:val="fr-FR"/>
      </w:rPr>
    </w:pPr>
    <w:r w:rsidRPr="006E50E0">
      <w:rPr>
        <w:b/>
        <w:sz w:val="20"/>
      </w:rPr>
      <w:fldChar w:fldCharType="begin"/>
    </w:r>
    <w:r w:rsidRPr="002F00A7">
      <w:rPr>
        <w:b/>
        <w:sz w:val="20"/>
        <w:lang w:val="fr-FR"/>
      </w:rPr>
      <w:instrText xml:space="preserve"> PAGE   \* MERGEFORMAT </w:instrText>
    </w:r>
    <w:r w:rsidRPr="006E50E0">
      <w:rPr>
        <w:b/>
        <w:sz w:val="20"/>
      </w:rPr>
      <w:fldChar w:fldCharType="separate"/>
    </w:r>
    <w:r w:rsidR="00CB2B6D" w:rsidRPr="002F00A7">
      <w:rPr>
        <w:b/>
        <w:noProof/>
        <w:sz w:val="20"/>
        <w:lang w:val="fr-FR"/>
      </w:rPr>
      <w:t>8</w:t>
    </w:r>
    <w:r w:rsidRPr="006E50E0">
      <w:rPr>
        <w:b/>
        <w:sz w:val="20"/>
      </w:rPr>
      <w:fldChar w:fldCharType="end"/>
    </w:r>
    <w:r w:rsidRPr="002F00A7">
      <w:rPr>
        <w:sz w:val="20"/>
        <w:lang w:val="fr-FR"/>
      </w:rPr>
      <w:tab/>
    </w:r>
    <w:r w:rsidR="006D6C43" w:rsidRPr="002F00A7">
      <w:rPr>
        <w:sz w:val="20"/>
        <w:lang w:val="fr-FR"/>
      </w:rPr>
      <w:t>© Joint Development Foundation 2020 - Pour en savoir plus et s’auto-certifier, voir www.openchainproject.org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0337D" w14:textId="4A937065" w:rsidR="00004B40" w:rsidRPr="002F00A7" w:rsidRDefault="006D6C43" w:rsidP="00526284">
    <w:pPr>
      <w:pStyle w:val="Footer"/>
      <w:spacing w:line="240" w:lineRule="atLeast"/>
      <w:rPr>
        <w:sz w:val="20"/>
        <w:lang w:val="fr-FR"/>
      </w:rPr>
    </w:pPr>
    <w:r w:rsidRPr="002F00A7">
      <w:rPr>
        <w:sz w:val="20"/>
        <w:lang w:val="fr-FR"/>
      </w:rPr>
      <w:t>© Joint Development Foundation 2020 - Pour en savoir plus et s’auto-certifier, voir www.openchainproject.org</w:t>
    </w:r>
    <w:r w:rsidR="00004B40" w:rsidRPr="002F00A7">
      <w:rPr>
        <w:sz w:val="20"/>
        <w:lang w:val="fr-FR"/>
      </w:rPr>
      <w:tab/>
    </w:r>
    <w:r w:rsidR="00004B40" w:rsidRPr="006E50E0">
      <w:rPr>
        <w:b/>
        <w:sz w:val="20"/>
      </w:rPr>
      <w:fldChar w:fldCharType="begin"/>
    </w:r>
    <w:r w:rsidR="00004B40" w:rsidRPr="002F00A7">
      <w:rPr>
        <w:b/>
        <w:sz w:val="20"/>
        <w:lang w:val="fr-FR"/>
      </w:rPr>
      <w:instrText xml:space="preserve"> PAGE   \* MERGEFORMAT </w:instrText>
    </w:r>
    <w:r w:rsidR="00004B40" w:rsidRPr="006E50E0">
      <w:rPr>
        <w:b/>
        <w:sz w:val="20"/>
      </w:rPr>
      <w:fldChar w:fldCharType="separate"/>
    </w:r>
    <w:r w:rsidR="00CB2B6D" w:rsidRPr="002F00A7">
      <w:rPr>
        <w:b/>
        <w:noProof/>
        <w:sz w:val="20"/>
        <w:lang w:val="fr-FR"/>
      </w:rPr>
      <w:t>7</w:t>
    </w:r>
    <w:r w:rsidR="00004B40" w:rsidRPr="006E50E0">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1C0B8" w14:textId="77777777" w:rsidR="00BB1C24" w:rsidRDefault="00BB1C24">
      <w:pPr>
        <w:spacing w:after="0" w:line="240" w:lineRule="auto"/>
      </w:pPr>
      <w:r>
        <w:separator/>
      </w:r>
    </w:p>
  </w:footnote>
  <w:footnote w:type="continuationSeparator" w:id="0">
    <w:p w14:paraId="29B87304" w14:textId="77777777" w:rsidR="00BB1C24" w:rsidRDefault="00BB1C24">
      <w:pPr>
        <w:spacing w:after="0" w:line="240" w:lineRule="auto"/>
      </w:pPr>
      <w:r>
        <w:continuationSeparator/>
      </w:r>
    </w:p>
  </w:footnote>
  <w:footnote w:id="1">
    <w:p w14:paraId="088A7FFC" w14:textId="77777777" w:rsidR="00182A40" w:rsidRPr="002F00A7" w:rsidRDefault="00182A40" w:rsidP="00182A40">
      <w:pPr>
        <w:pStyle w:val="FootnoteText"/>
        <w:rPr>
          <w:lang w:val="fr-FR"/>
        </w:rPr>
      </w:pPr>
      <w:r>
        <w:rPr>
          <w:rStyle w:val="FootnoteReference"/>
        </w:rPr>
        <w:footnoteRef/>
      </w:r>
      <w:r w:rsidRPr="002F00A7">
        <w:rPr>
          <w:lang w:val="fr-FR"/>
        </w:rPr>
        <w:t xml:space="preserve"> Déterminée par le domaine, la juridiction légale ou les contrats clients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BBB56" w14:textId="2C855511" w:rsidR="00004B40" w:rsidRPr="002F00A7" w:rsidRDefault="00923F27" w:rsidP="00923F27">
    <w:pPr>
      <w:pStyle w:val="Header"/>
      <w:rPr>
        <w:lang w:val="fr-FR"/>
      </w:rPr>
    </w:pPr>
    <w:r w:rsidRPr="002F00A7">
      <w:rPr>
        <w:lang w:val="fr-FR"/>
      </w:rPr>
      <w:t>OpenChain 2.1 - La norme de l’industrie pour la conformité aux licences open source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030F9" w14:textId="2F1AED4E" w:rsidR="00004B40" w:rsidRPr="002F00A7" w:rsidRDefault="00923F27" w:rsidP="004421EF">
    <w:pPr>
      <w:pStyle w:val="Header"/>
      <w:spacing w:line="240" w:lineRule="exact"/>
      <w:jc w:val="right"/>
      <w:rPr>
        <w:lang w:val="fr-FR"/>
      </w:rPr>
    </w:pPr>
    <w:r w:rsidRPr="002F00A7">
      <w:rPr>
        <w:lang w:val="fr-FR"/>
      </w:rPr>
      <w:t>OpenChain 2.1 - La norme de l’industrie pour la conformité aux licences open source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0A8A12A7"/>
    <w:multiLevelType w:val="hybridMultilevel"/>
    <w:tmpl w:val="64C421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EA6035E"/>
    <w:multiLevelType w:val="hybridMultilevel"/>
    <w:tmpl w:val="CFB4D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F400B"/>
    <w:multiLevelType w:val="hybridMultilevel"/>
    <w:tmpl w:val="473AF1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223F02"/>
    <w:multiLevelType w:val="hybridMultilevel"/>
    <w:tmpl w:val="C7F20512"/>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229DD"/>
    <w:multiLevelType w:val="hybridMultilevel"/>
    <w:tmpl w:val="66AE8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5333E"/>
    <w:multiLevelType w:val="hybridMultilevel"/>
    <w:tmpl w:val="0E0A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AC7EB8"/>
    <w:multiLevelType w:val="multilevel"/>
    <w:tmpl w:val="975087F0"/>
    <w:lvl w:ilvl="0">
      <w:start w:val="1"/>
      <w:numFmt w:val="decimal"/>
      <w:pStyle w:val="Heading1"/>
      <w:lvlText w:val="%1"/>
      <w:lvlJc w:val="left"/>
      <w:pPr>
        <w:tabs>
          <w:tab w:val="num" w:pos="999"/>
        </w:tabs>
        <w:ind w:left="999"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81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8" w15:restartNumberingAfterBreak="0">
    <w:nsid w:val="3927484E"/>
    <w:multiLevelType w:val="hybridMultilevel"/>
    <w:tmpl w:val="54E2D65C"/>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F2114"/>
    <w:multiLevelType w:val="hybridMultilevel"/>
    <w:tmpl w:val="857A3AD0"/>
    <w:lvl w:ilvl="0" w:tplc="CA023F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8C75BF"/>
    <w:multiLevelType w:val="hybridMultilevel"/>
    <w:tmpl w:val="34CE3C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BF12D4"/>
    <w:multiLevelType w:val="hybridMultilevel"/>
    <w:tmpl w:val="04381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B19A1"/>
    <w:multiLevelType w:val="hybridMultilevel"/>
    <w:tmpl w:val="C588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A02B2"/>
    <w:multiLevelType w:val="hybridMultilevel"/>
    <w:tmpl w:val="091A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507C4"/>
    <w:multiLevelType w:val="hybridMultilevel"/>
    <w:tmpl w:val="1678589E"/>
    <w:lvl w:ilvl="0" w:tplc="0966FD5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C03C1C"/>
    <w:multiLevelType w:val="hybridMultilevel"/>
    <w:tmpl w:val="58263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60019"/>
    <w:multiLevelType w:val="hybridMultilevel"/>
    <w:tmpl w:val="F0BC1186"/>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D364FD"/>
    <w:multiLevelType w:val="hybridMultilevel"/>
    <w:tmpl w:val="FC0E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072C2"/>
    <w:multiLevelType w:val="hybridMultilevel"/>
    <w:tmpl w:val="91E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F4314"/>
    <w:multiLevelType w:val="hybridMultilevel"/>
    <w:tmpl w:val="115C3B90"/>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310160"/>
    <w:multiLevelType w:val="hybridMultilevel"/>
    <w:tmpl w:val="FBEAF150"/>
    <w:lvl w:ilvl="0" w:tplc="E5743F1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1E2F75"/>
    <w:multiLevelType w:val="hybridMultilevel"/>
    <w:tmpl w:val="BD0891AC"/>
    <w:lvl w:ilvl="0" w:tplc="CA023F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852147"/>
    <w:multiLevelType w:val="hybridMultilevel"/>
    <w:tmpl w:val="D06EA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0"/>
  </w:num>
  <w:num w:numId="4">
    <w:abstractNumId w:val="0"/>
  </w:num>
  <w:num w:numId="5">
    <w:abstractNumId w:val="10"/>
  </w:num>
  <w:num w:numId="6">
    <w:abstractNumId w:val="18"/>
  </w:num>
  <w:num w:numId="7">
    <w:abstractNumId w:val="12"/>
  </w:num>
  <w:num w:numId="8">
    <w:abstractNumId w:val="6"/>
  </w:num>
  <w:num w:numId="9">
    <w:abstractNumId w:val="11"/>
  </w:num>
  <w:num w:numId="10">
    <w:abstractNumId w:val="17"/>
  </w:num>
  <w:num w:numId="11">
    <w:abstractNumId w:val="20"/>
  </w:num>
  <w:num w:numId="12">
    <w:abstractNumId w:val="14"/>
  </w:num>
  <w:num w:numId="13">
    <w:abstractNumId w:val="15"/>
  </w:num>
  <w:num w:numId="14">
    <w:abstractNumId w:val="7"/>
    <w:lvlOverride w:ilvl="0">
      <w:startOverride w:val="1"/>
    </w:lvlOverride>
    <w:lvlOverride w:ilvl="1">
      <w:startOverride w:val="2"/>
    </w:lvlOverride>
  </w:num>
  <w:num w:numId="15">
    <w:abstractNumId w:val="9"/>
  </w:num>
  <w:num w:numId="16">
    <w:abstractNumId w:val="3"/>
  </w:num>
  <w:num w:numId="17">
    <w:abstractNumId w:val="1"/>
  </w:num>
  <w:num w:numId="18">
    <w:abstractNumId w:val="14"/>
  </w:num>
  <w:num w:numId="19">
    <w:abstractNumId w:val="8"/>
  </w:num>
  <w:num w:numId="20">
    <w:abstractNumId w:val="16"/>
  </w:num>
  <w:num w:numId="21">
    <w:abstractNumId w:val="21"/>
  </w:num>
  <w:num w:numId="22">
    <w:abstractNumId w:val="14"/>
  </w:num>
  <w:num w:numId="23">
    <w:abstractNumId w:val="19"/>
  </w:num>
  <w:num w:numId="24">
    <w:abstractNumId w:val="4"/>
  </w:num>
  <w:num w:numId="25">
    <w:abstractNumId w:val="7"/>
  </w:num>
  <w:num w:numId="26">
    <w:abstractNumId w:val="7"/>
  </w:num>
  <w:num w:numId="27">
    <w:abstractNumId w:val="7"/>
  </w:num>
  <w:num w:numId="28">
    <w:abstractNumId w:val="7"/>
  </w:num>
  <w:num w:numId="29">
    <w:abstractNumId w:val="7"/>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2"/>
  </w:num>
  <w:num w:numId="39">
    <w:abstractNumId w:val="5"/>
  </w:num>
  <w:num w:numId="40">
    <w:abstractNumId w:val="22"/>
  </w:num>
  <w:num w:numId="4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F4"/>
    <w:rsid w:val="0000364D"/>
    <w:rsid w:val="00004B40"/>
    <w:rsid w:val="00050B78"/>
    <w:rsid w:val="00052262"/>
    <w:rsid w:val="00054B44"/>
    <w:rsid w:val="00055455"/>
    <w:rsid w:val="00060093"/>
    <w:rsid w:val="000701D6"/>
    <w:rsid w:val="000712AF"/>
    <w:rsid w:val="000753DC"/>
    <w:rsid w:val="00094732"/>
    <w:rsid w:val="000A548E"/>
    <w:rsid w:val="000B5928"/>
    <w:rsid w:val="000C033F"/>
    <w:rsid w:val="000C4262"/>
    <w:rsid w:val="000D12F8"/>
    <w:rsid w:val="00124640"/>
    <w:rsid w:val="00147550"/>
    <w:rsid w:val="0015110E"/>
    <w:rsid w:val="00161E62"/>
    <w:rsid w:val="00171982"/>
    <w:rsid w:val="00172DB9"/>
    <w:rsid w:val="00182A40"/>
    <w:rsid w:val="00197170"/>
    <w:rsid w:val="001976BB"/>
    <w:rsid w:val="001A0B0F"/>
    <w:rsid w:val="001A33D0"/>
    <w:rsid w:val="001A5738"/>
    <w:rsid w:val="001B158D"/>
    <w:rsid w:val="001B4B77"/>
    <w:rsid w:val="001B51CD"/>
    <w:rsid w:val="001B76B6"/>
    <w:rsid w:val="001D08D8"/>
    <w:rsid w:val="001D2901"/>
    <w:rsid w:val="001D6C27"/>
    <w:rsid w:val="001D6D04"/>
    <w:rsid w:val="001E4B61"/>
    <w:rsid w:val="001E7F7E"/>
    <w:rsid w:val="00200AFC"/>
    <w:rsid w:val="002049F5"/>
    <w:rsid w:val="0022401E"/>
    <w:rsid w:val="0022663C"/>
    <w:rsid w:val="00227461"/>
    <w:rsid w:val="00227A37"/>
    <w:rsid w:val="00234122"/>
    <w:rsid w:val="00237D7A"/>
    <w:rsid w:val="0024071C"/>
    <w:rsid w:val="002605C0"/>
    <w:rsid w:val="002637C0"/>
    <w:rsid w:val="00263F87"/>
    <w:rsid w:val="00264095"/>
    <w:rsid w:val="002651C0"/>
    <w:rsid w:val="00270D29"/>
    <w:rsid w:val="002748BD"/>
    <w:rsid w:val="00285BC3"/>
    <w:rsid w:val="00287FFA"/>
    <w:rsid w:val="00291AE8"/>
    <w:rsid w:val="00294FB0"/>
    <w:rsid w:val="002A0230"/>
    <w:rsid w:val="002A0C4A"/>
    <w:rsid w:val="002A19CC"/>
    <w:rsid w:val="002B01BD"/>
    <w:rsid w:val="002C453D"/>
    <w:rsid w:val="002C76CD"/>
    <w:rsid w:val="002E0796"/>
    <w:rsid w:val="002F00A7"/>
    <w:rsid w:val="002F10BF"/>
    <w:rsid w:val="00314414"/>
    <w:rsid w:val="0031564E"/>
    <w:rsid w:val="00325C8C"/>
    <w:rsid w:val="00327F75"/>
    <w:rsid w:val="00333718"/>
    <w:rsid w:val="0034798D"/>
    <w:rsid w:val="003579A6"/>
    <w:rsid w:val="003646B6"/>
    <w:rsid w:val="00370B71"/>
    <w:rsid w:val="00374B54"/>
    <w:rsid w:val="00377EE9"/>
    <w:rsid w:val="00393544"/>
    <w:rsid w:val="00395E39"/>
    <w:rsid w:val="003B11ED"/>
    <w:rsid w:val="003C0AF5"/>
    <w:rsid w:val="003C1B08"/>
    <w:rsid w:val="003C6799"/>
    <w:rsid w:val="003D09EC"/>
    <w:rsid w:val="003E247B"/>
    <w:rsid w:val="003E4198"/>
    <w:rsid w:val="003F38FD"/>
    <w:rsid w:val="00400F60"/>
    <w:rsid w:val="00404DBD"/>
    <w:rsid w:val="00406187"/>
    <w:rsid w:val="004126AF"/>
    <w:rsid w:val="00425B58"/>
    <w:rsid w:val="00431BA1"/>
    <w:rsid w:val="00441FD0"/>
    <w:rsid w:val="004421EF"/>
    <w:rsid w:val="0044390B"/>
    <w:rsid w:val="00443D77"/>
    <w:rsid w:val="00456837"/>
    <w:rsid w:val="00460363"/>
    <w:rsid w:val="00463A9B"/>
    <w:rsid w:val="00471582"/>
    <w:rsid w:val="00472710"/>
    <w:rsid w:val="00477E88"/>
    <w:rsid w:val="0048006F"/>
    <w:rsid w:val="00481387"/>
    <w:rsid w:val="00482308"/>
    <w:rsid w:val="00483590"/>
    <w:rsid w:val="00483B6D"/>
    <w:rsid w:val="00484B1D"/>
    <w:rsid w:val="00490CBC"/>
    <w:rsid w:val="00496834"/>
    <w:rsid w:val="004A0332"/>
    <w:rsid w:val="004C241D"/>
    <w:rsid w:val="004C5798"/>
    <w:rsid w:val="004C6B5D"/>
    <w:rsid w:val="004D024F"/>
    <w:rsid w:val="004D2D98"/>
    <w:rsid w:val="004D4FA8"/>
    <w:rsid w:val="004E4F09"/>
    <w:rsid w:val="004E6E8E"/>
    <w:rsid w:val="004F3309"/>
    <w:rsid w:val="004F7738"/>
    <w:rsid w:val="00511536"/>
    <w:rsid w:val="00511D57"/>
    <w:rsid w:val="0051294E"/>
    <w:rsid w:val="00522D16"/>
    <w:rsid w:val="00526284"/>
    <w:rsid w:val="0054017F"/>
    <w:rsid w:val="00544DC2"/>
    <w:rsid w:val="0054733A"/>
    <w:rsid w:val="00551794"/>
    <w:rsid w:val="00557589"/>
    <w:rsid w:val="005609AC"/>
    <w:rsid w:val="00561272"/>
    <w:rsid w:val="0056313A"/>
    <w:rsid w:val="005634CB"/>
    <w:rsid w:val="00564080"/>
    <w:rsid w:val="005641F2"/>
    <w:rsid w:val="00566D03"/>
    <w:rsid w:val="00571B84"/>
    <w:rsid w:val="00577AC5"/>
    <w:rsid w:val="005844BC"/>
    <w:rsid w:val="005978F9"/>
    <w:rsid w:val="005B3EC6"/>
    <w:rsid w:val="005D0FC0"/>
    <w:rsid w:val="005D5A93"/>
    <w:rsid w:val="005D6017"/>
    <w:rsid w:val="005E0612"/>
    <w:rsid w:val="005E0811"/>
    <w:rsid w:val="005E50B1"/>
    <w:rsid w:val="005E6DD1"/>
    <w:rsid w:val="005F1722"/>
    <w:rsid w:val="00606968"/>
    <w:rsid w:val="00610D56"/>
    <w:rsid w:val="006259E3"/>
    <w:rsid w:val="00630137"/>
    <w:rsid w:val="006337A7"/>
    <w:rsid w:val="00644944"/>
    <w:rsid w:val="0064621B"/>
    <w:rsid w:val="00651374"/>
    <w:rsid w:val="006560E8"/>
    <w:rsid w:val="00663F0B"/>
    <w:rsid w:val="00671B6D"/>
    <w:rsid w:val="00673172"/>
    <w:rsid w:val="00680A25"/>
    <w:rsid w:val="0068101F"/>
    <w:rsid w:val="00681B41"/>
    <w:rsid w:val="00683AE6"/>
    <w:rsid w:val="006925BD"/>
    <w:rsid w:val="006C1BAF"/>
    <w:rsid w:val="006C260F"/>
    <w:rsid w:val="006D3D76"/>
    <w:rsid w:val="006D6C43"/>
    <w:rsid w:val="006F4D60"/>
    <w:rsid w:val="006F591D"/>
    <w:rsid w:val="0070124E"/>
    <w:rsid w:val="0070419C"/>
    <w:rsid w:val="00706757"/>
    <w:rsid w:val="007067F1"/>
    <w:rsid w:val="00706811"/>
    <w:rsid w:val="00706F75"/>
    <w:rsid w:val="00707647"/>
    <w:rsid w:val="00715D95"/>
    <w:rsid w:val="007262ED"/>
    <w:rsid w:val="00726CF5"/>
    <w:rsid w:val="007307AD"/>
    <w:rsid w:val="0073231B"/>
    <w:rsid w:val="00734A6D"/>
    <w:rsid w:val="0074342E"/>
    <w:rsid w:val="007454DD"/>
    <w:rsid w:val="00762AED"/>
    <w:rsid w:val="0076442E"/>
    <w:rsid w:val="00764D28"/>
    <w:rsid w:val="007812F0"/>
    <w:rsid w:val="00790A8A"/>
    <w:rsid w:val="007B23EF"/>
    <w:rsid w:val="007B3B88"/>
    <w:rsid w:val="007B7AE4"/>
    <w:rsid w:val="007C49C9"/>
    <w:rsid w:val="007D00E0"/>
    <w:rsid w:val="007D2FCD"/>
    <w:rsid w:val="007F073C"/>
    <w:rsid w:val="007F2F77"/>
    <w:rsid w:val="007F42E7"/>
    <w:rsid w:val="007F5EDC"/>
    <w:rsid w:val="007F7ABD"/>
    <w:rsid w:val="007F7F35"/>
    <w:rsid w:val="00800ABE"/>
    <w:rsid w:val="00826377"/>
    <w:rsid w:val="008340D8"/>
    <w:rsid w:val="00854C92"/>
    <w:rsid w:val="008659F3"/>
    <w:rsid w:val="008713ED"/>
    <w:rsid w:val="00871602"/>
    <w:rsid w:val="00872AA6"/>
    <w:rsid w:val="008752CA"/>
    <w:rsid w:val="0087690B"/>
    <w:rsid w:val="008814B2"/>
    <w:rsid w:val="00885E28"/>
    <w:rsid w:val="00893560"/>
    <w:rsid w:val="00894EAB"/>
    <w:rsid w:val="00897961"/>
    <w:rsid w:val="008A395D"/>
    <w:rsid w:val="008B6DBC"/>
    <w:rsid w:val="008C204E"/>
    <w:rsid w:val="008D4B66"/>
    <w:rsid w:val="008F07BB"/>
    <w:rsid w:val="008F1F18"/>
    <w:rsid w:val="00903297"/>
    <w:rsid w:val="009143A5"/>
    <w:rsid w:val="00914C53"/>
    <w:rsid w:val="00923F27"/>
    <w:rsid w:val="009439E1"/>
    <w:rsid w:val="00952169"/>
    <w:rsid w:val="00966E2F"/>
    <w:rsid w:val="00967235"/>
    <w:rsid w:val="0097303B"/>
    <w:rsid w:val="009839BB"/>
    <w:rsid w:val="00985FDA"/>
    <w:rsid w:val="009A035F"/>
    <w:rsid w:val="009B3704"/>
    <w:rsid w:val="009B573D"/>
    <w:rsid w:val="009B600D"/>
    <w:rsid w:val="009B70CD"/>
    <w:rsid w:val="009D60DD"/>
    <w:rsid w:val="009D710A"/>
    <w:rsid w:val="009E33D9"/>
    <w:rsid w:val="009E62B0"/>
    <w:rsid w:val="009F39BD"/>
    <w:rsid w:val="00A026FA"/>
    <w:rsid w:val="00A043A6"/>
    <w:rsid w:val="00A10C28"/>
    <w:rsid w:val="00A11987"/>
    <w:rsid w:val="00A12382"/>
    <w:rsid w:val="00A235CA"/>
    <w:rsid w:val="00A25788"/>
    <w:rsid w:val="00A45AE0"/>
    <w:rsid w:val="00A50D78"/>
    <w:rsid w:val="00A662E7"/>
    <w:rsid w:val="00A752AD"/>
    <w:rsid w:val="00A76617"/>
    <w:rsid w:val="00A853DE"/>
    <w:rsid w:val="00A97ED7"/>
    <w:rsid w:val="00AA23D6"/>
    <w:rsid w:val="00AA55ED"/>
    <w:rsid w:val="00AB422F"/>
    <w:rsid w:val="00AB4C64"/>
    <w:rsid w:val="00AB61D2"/>
    <w:rsid w:val="00AB7972"/>
    <w:rsid w:val="00AB7CB6"/>
    <w:rsid w:val="00AC045D"/>
    <w:rsid w:val="00AE533A"/>
    <w:rsid w:val="00AF357D"/>
    <w:rsid w:val="00AF50D6"/>
    <w:rsid w:val="00AF68C4"/>
    <w:rsid w:val="00AF79CE"/>
    <w:rsid w:val="00B025E9"/>
    <w:rsid w:val="00B02C9D"/>
    <w:rsid w:val="00B15D16"/>
    <w:rsid w:val="00B15F5F"/>
    <w:rsid w:val="00B24DE6"/>
    <w:rsid w:val="00B30F2A"/>
    <w:rsid w:val="00B32685"/>
    <w:rsid w:val="00B345EF"/>
    <w:rsid w:val="00B432E9"/>
    <w:rsid w:val="00B5071A"/>
    <w:rsid w:val="00B651E7"/>
    <w:rsid w:val="00B76E77"/>
    <w:rsid w:val="00B77025"/>
    <w:rsid w:val="00B80F08"/>
    <w:rsid w:val="00B83404"/>
    <w:rsid w:val="00B9118A"/>
    <w:rsid w:val="00BA1F97"/>
    <w:rsid w:val="00BA6E9D"/>
    <w:rsid w:val="00BB1C24"/>
    <w:rsid w:val="00BB379C"/>
    <w:rsid w:val="00BC2508"/>
    <w:rsid w:val="00BC394B"/>
    <w:rsid w:val="00BC7681"/>
    <w:rsid w:val="00BD0761"/>
    <w:rsid w:val="00BD6A44"/>
    <w:rsid w:val="00BF7921"/>
    <w:rsid w:val="00C01C96"/>
    <w:rsid w:val="00C3361A"/>
    <w:rsid w:val="00C33932"/>
    <w:rsid w:val="00C40878"/>
    <w:rsid w:val="00C41821"/>
    <w:rsid w:val="00C41A82"/>
    <w:rsid w:val="00C424F1"/>
    <w:rsid w:val="00C545F9"/>
    <w:rsid w:val="00C57B90"/>
    <w:rsid w:val="00C62CE1"/>
    <w:rsid w:val="00C64A6F"/>
    <w:rsid w:val="00C658E9"/>
    <w:rsid w:val="00C7071D"/>
    <w:rsid w:val="00C72E90"/>
    <w:rsid w:val="00C732DE"/>
    <w:rsid w:val="00C74AAF"/>
    <w:rsid w:val="00C753A4"/>
    <w:rsid w:val="00C80E49"/>
    <w:rsid w:val="00C83357"/>
    <w:rsid w:val="00C839CB"/>
    <w:rsid w:val="00CA15F4"/>
    <w:rsid w:val="00CA6DF8"/>
    <w:rsid w:val="00CB2B6D"/>
    <w:rsid w:val="00CB3C4B"/>
    <w:rsid w:val="00CC2F0B"/>
    <w:rsid w:val="00CC75E3"/>
    <w:rsid w:val="00CE2020"/>
    <w:rsid w:val="00CE656F"/>
    <w:rsid w:val="00CF397D"/>
    <w:rsid w:val="00D066E9"/>
    <w:rsid w:val="00D06905"/>
    <w:rsid w:val="00D10706"/>
    <w:rsid w:val="00D138FD"/>
    <w:rsid w:val="00D16F11"/>
    <w:rsid w:val="00D33289"/>
    <w:rsid w:val="00D3614C"/>
    <w:rsid w:val="00D52696"/>
    <w:rsid w:val="00D541EE"/>
    <w:rsid w:val="00D65D17"/>
    <w:rsid w:val="00D77347"/>
    <w:rsid w:val="00D85AAB"/>
    <w:rsid w:val="00D95D44"/>
    <w:rsid w:val="00DA1077"/>
    <w:rsid w:val="00DB2BD4"/>
    <w:rsid w:val="00DC44C3"/>
    <w:rsid w:val="00DC6913"/>
    <w:rsid w:val="00DC7FDD"/>
    <w:rsid w:val="00DD1BA4"/>
    <w:rsid w:val="00DE4393"/>
    <w:rsid w:val="00DE4D2D"/>
    <w:rsid w:val="00E02537"/>
    <w:rsid w:val="00E10672"/>
    <w:rsid w:val="00E13074"/>
    <w:rsid w:val="00E16379"/>
    <w:rsid w:val="00E33FB5"/>
    <w:rsid w:val="00E45DE1"/>
    <w:rsid w:val="00E66E01"/>
    <w:rsid w:val="00E74789"/>
    <w:rsid w:val="00E7547A"/>
    <w:rsid w:val="00EA1837"/>
    <w:rsid w:val="00EA2F83"/>
    <w:rsid w:val="00EA405C"/>
    <w:rsid w:val="00EA7587"/>
    <w:rsid w:val="00EA7BD6"/>
    <w:rsid w:val="00EB5FF5"/>
    <w:rsid w:val="00ED118E"/>
    <w:rsid w:val="00ED401C"/>
    <w:rsid w:val="00EE0A3B"/>
    <w:rsid w:val="00EE1297"/>
    <w:rsid w:val="00EF4D63"/>
    <w:rsid w:val="00EF7DC9"/>
    <w:rsid w:val="00F17530"/>
    <w:rsid w:val="00F31C7A"/>
    <w:rsid w:val="00F378E6"/>
    <w:rsid w:val="00F40594"/>
    <w:rsid w:val="00F63A16"/>
    <w:rsid w:val="00F760ED"/>
    <w:rsid w:val="00F77E4F"/>
    <w:rsid w:val="00F81ACE"/>
    <w:rsid w:val="00F828CA"/>
    <w:rsid w:val="00F82CF0"/>
    <w:rsid w:val="00F85048"/>
    <w:rsid w:val="00FA09CA"/>
    <w:rsid w:val="00FB5FAB"/>
    <w:rsid w:val="00FC1FDA"/>
    <w:rsid w:val="00FC52A7"/>
    <w:rsid w:val="00FD39AA"/>
    <w:rsid w:val="00FF2548"/>
    <w:rsid w:val="00FF5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2E938"/>
  <w15:docId w15:val="{AC95181C-6C97-4BAB-8EC0-8FD63C74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A6"/>
    <w:pPr>
      <w:tabs>
        <w:tab w:val="left" w:pos="403"/>
      </w:tabs>
      <w:spacing w:after="240" w:line="240" w:lineRule="atLeast"/>
    </w:pPr>
    <w:rPr>
      <w:sz w:val="22"/>
      <w:szCs w:val="22"/>
      <w:lang w:val="en-GB"/>
    </w:rPr>
  </w:style>
  <w:style w:type="paragraph" w:styleId="Heading1">
    <w:name w:val="heading 1"/>
    <w:basedOn w:val="Normal"/>
    <w:next w:val="Normal"/>
    <w:link w:val="Heading1Char"/>
    <w:uiPriority w:val="1"/>
    <w:qFormat/>
    <w:rsid w:val="001B51CD"/>
    <w:pPr>
      <w:keepNext/>
      <w:numPr>
        <w:numId w:val="1"/>
      </w:numPr>
      <w:tabs>
        <w:tab w:val="clear" w:pos="403"/>
        <w:tab w:val="clear" w:pos="999"/>
        <w:tab w:val="left" w:pos="400"/>
        <w:tab w:val="num" w:pos="432"/>
        <w:tab w:val="left" w:pos="560"/>
      </w:tabs>
      <w:suppressAutoHyphens/>
      <w:spacing w:before="270" w:line="270" w:lineRule="atLeast"/>
      <w:ind w:left="432"/>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eastAsia="MS Mincho"/>
      <w:b/>
      <w:sz w:val="26"/>
      <w:szCs w:val="22"/>
      <w:lang w:val="en-GB" w:eastAsia="ja-JP"/>
    </w:rPr>
  </w:style>
  <w:style w:type="character" w:customStyle="1" w:styleId="Heading2Char">
    <w:name w:val="Heading 2 Char"/>
    <w:link w:val="Heading2"/>
    <w:uiPriority w:val="2"/>
    <w:rsid w:val="001B51CD"/>
    <w:rPr>
      <w:rFonts w:eastAsia="MS Mincho"/>
      <w:b/>
      <w:sz w:val="24"/>
      <w:szCs w:val="22"/>
      <w:lang w:val="en-GB" w:eastAsia="ja-JP"/>
    </w:rPr>
  </w:style>
  <w:style w:type="character" w:customStyle="1" w:styleId="Heading3Char">
    <w:name w:val="Heading 3 Char"/>
    <w:link w:val="Heading3"/>
    <w:uiPriority w:val="3"/>
    <w:rsid w:val="001B51CD"/>
    <w:rPr>
      <w:rFonts w:eastAsia="MS Mincho"/>
      <w:b/>
      <w:sz w:val="22"/>
      <w:szCs w:val="22"/>
      <w:lang w:val="en-GB" w:eastAsia="ja-JP"/>
    </w:rPr>
  </w:style>
  <w:style w:type="character" w:customStyle="1" w:styleId="Heading4Char">
    <w:name w:val="Heading 4 Char"/>
    <w:link w:val="Heading4"/>
    <w:uiPriority w:val="4"/>
    <w:rsid w:val="00F828CA"/>
    <w:rPr>
      <w:rFonts w:eastAsia="MS Mincho"/>
      <w:b/>
      <w:sz w:val="22"/>
      <w:szCs w:val="22"/>
      <w:lang w:val="en-GB" w:eastAsia="ja-JP"/>
    </w:rPr>
  </w:style>
  <w:style w:type="character" w:customStyle="1" w:styleId="Heading5Char">
    <w:name w:val="Heading 5 Char"/>
    <w:link w:val="Heading5"/>
    <w:uiPriority w:val="5"/>
    <w:rsid w:val="001B51CD"/>
    <w:rPr>
      <w:rFonts w:eastAsia="MS Mincho"/>
      <w:b/>
      <w:sz w:val="22"/>
      <w:szCs w:val="22"/>
      <w:lang w:val="en-GB" w:eastAsia="ja-JP"/>
    </w:rPr>
  </w:style>
  <w:style w:type="character" w:customStyle="1" w:styleId="Heading6Char">
    <w:name w:val="Heading 6 Char"/>
    <w:link w:val="Heading6"/>
    <w:uiPriority w:val="6"/>
    <w:rsid w:val="001B51CD"/>
    <w:rPr>
      <w:rFonts w:eastAsia="MS Mincho"/>
      <w:b/>
      <w:sz w:val="22"/>
      <w:szCs w:val="22"/>
      <w:lang w:val="en-GB" w:eastAsia="ja-JP"/>
    </w:rPr>
  </w:style>
  <w:style w:type="paragraph" w:customStyle="1" w:styleId="a2">
    <w:name w:val="a2"/>
    <w:basedOn w:val="Normal"/>
    <w:next w:val="Normal"/>
    <w:uiPriority w:val="11"/>
    <w:rsid w:val="0054733A"/>
    <w:pPr>
      <w:keepNext/>
      <w:numPr>
        <w:ilvl w:val="1"/>
        <w:numId w:val="4"/>
      </w:numPr>
      <w:tabs>
        <w:tab w:val="clear" w:pos="360"/>
        <w:tab w:val="clear" w:pos="403"/>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4"/>
      </w:numPr>
      <w:spacing w:before="60" w:line="250" w:lineRule="atLeas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4"/>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4"/>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4"/>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4"/>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pPr>
    <w:rPr>
      <w:b/>
    </w:rPr>
  </w:style>
  <w:style w:type="paragraph" w:customStyle="1" w:styleId="TermNum">
    <w:name w:val="TermNum"/>
    <w:basedOn w:val="Normal"/>
    <w:next w:val="Terms"/>
    <w:uiPriority w:val="7"/>
    <w:rsid w:val="00F77E4F"/>
    <w:pPr>
      <w:keepNext/>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pPr>
    <w:rPr>
      <w:rFonts w:eastAsia="Times New Roman"/>
    </w:rPr>
  </w:style>
  <w:style w:type="paragraph" w:customStyle="1" w:styleId="Tablebody">
    <w:name w:val="Table body"/>
    <w:basedOn w:val="Normal"/>
    <w:semiHidden/>
    <w:rsid w:val="00314414"/>
    <w:pPr>
      <w:tabs>
        <w:tab w:val="clear" w:pos="403"/>
      </w:tabs>
      <w:spacing w:before="60" w:after="60" w:line="210" w:lineRule="atLeast"/>
    </w:pPr>
    <w:rPr>
      <w:rFonts w:eastAsia="Times New Roman"/>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CommentReference">
    <w:name w:val="annotation reference"/>
    <w:basedOn w:val="DefaultParagraphFont"/>
    <w:uiPriority w:val="99"/>
    <w:semiHidden/>
    <w:unhideWhenUsed/>
    <w:rsid w:val="001D6D04"/>
    <w:rPr>
      <w:sz w:val="16"/>
      <w:szCs w:val="16"/>
    </w:rPr>
  </w:style>
  <w:style w:type="paragraph" w:styleId="CommentText">
    <w:name w:val="annotation text"/>
    <w:basedOn w:val="Normal"/>
    <w:link w:val="CommentTextChar"/>
    <w:uiPriority w:val="99"/>
    <w:semiHidden/>
    <w:unhideWhenUsed/>
    <w:rsid w:val="001D6D04"/>
    <w:pPr>
      <w:spacing w:line="240" w:lineRule="auto"/>
    </w:pPr>
    <w:rPr>
      <w:sz w:val="20"/>
      <w:szCs w:val="20"/>
    </w:rPr>
  </w:style>
  <w:style w:type="character" w:customStyle="1" w:styleId="CommentTextChar">
    <w:name w:val="Comment Text Char"/>
    <w:basedOn w:val="DefaultParagraphFont"/>
    <w:link w:val="CommentText"/>
    <w:uiPriority w:val="99"/>
    <w:semiHidden/>
    <w:rsid w:val="001D6D04"/>
    <w:rPr>
      <w:lang w:val="en-GB"/>
    </w:rPr>
  </w:style>
  <w:style w:type="paragraph" w:styleId="CommentSubject">
    <w:name w:val="annotation subject"/>
    <w:basedOn w:val="CommentText"/>
    <w:next w:val="CommentText"/>
    <w:link w:val="CommentSubjectChar"/>
    <w:uiPriority w:val="99"/>
    <w:semiHidden/>
    <w:unhideWhenUsed/>
    <w:rsid w:val="001D6D04"/>
    <w:rPr>
      <w:b/>
      <w:bCs/>
    </w:rPr>
  </w:style>
  <w:style w:type="character" w:customStyle="1" w:styleId="CommentSubjectChar">
    <w:name w:val="Comment Subject Char"/>
    <w:basedOn w:val="CommentTextChar"/>
    <w:link w:val="CommentSubject"/>
    <w:uiPriority w:val="99"/>
    <w:semiHidden/>
    <w:rsid w:val="001D6D04"/>
    <w:rPr>
      <w:b/>
      <w:bCs/>
      <w:lang w:val="en-GB"/>
    </w:rPr>
  </w:style>
  <w:style w:type="character" w:customStyle="1" w:styleId="UnresolvedMention1">
    <w:name w:val="Unresolved Mention1"/>
    <w:basedOn w:val="DefaultParagraphFont"/>
    <w:uiPriority w:val="99"/>
    <w:semiHidden/>
    <w:unhideWhenUsed/>
    <w:rsid w:val="00484B1D"/>
    <w:rPr>
      <w:color w:val="605E5C"/>
      <w:shd w:val="clear" w:color="auto" w:fill="E1DFDD"/>
    </w:rPr>
  </w:style>
  <w:style w:type="paragraph" w:styleId="ListParagraph">
    <w:name w:val="List Paragraph"/>
    <w:basedOn w:val="Normal"/>
    <w:uiPriority w:val="34"/>
    <w:qFormat/>
    <w:rsid w:val="001D08D8"/>
    <w:pPr>
      <w:numPr>
        <w:numId w:val="12"/>
      </w:numPr>
      <w:tabs>
        <w:tab w:val="clear" w:pos="403"/>
      </w:tabs>
      <w:spacing w:after="0" w:line="240" w:lineRule="auto"/>
      <w:contextualSpacing/>
      <w:jc w:val="both"/>
    </w:pPr>
    <w:rPr>
      <w:rFonts w:asciiTheme="minorHAnsi" w:eastAsiaTheme="minorHAnsi" w:hAnsiTheme="minorHAnsi" w:cstheme="minorBidi"/>
      <w:lang w:val="en-US"/>
    </w:rPr>
  </w:style>
  <w:style w:type="character" w:styleId="Strong">
    <w:name w:val="Strong"/>
    <w:basedOn w:val="DefaultParagraphFont"/>
    <w:uiPriority w:val="22"/>
    <w:qFormat/>
    <w:rsid w:val="00EA1837"/>
    <w:rPr>
      <w:b/>
      <w:bCs/>
    </w:rPr>
  </w:style>
  <w:style w:type="paragraph" w:styleId="FootnoteText">
    <w:name w:val="footnote text"/>
    <w:basedOn w:val="Normal"/>
    <w:link w:val="FootnoteTextChar"/>
    <w:uiPriority w:val="99"/>
    <w:semiHidden/>
    <w:unhideWhenUsed/>
    <w:rsid w:val="00E02537"/>
    <w:pPr>
      <w:tabs>
        <w:tab w:val="clear" w:pos="403"/>
      </w:tabs>
      <w:spacing w:after="0" w:line="240" w:lineRule="auto"/>
      <w:jc w:val="both"/>
    </w:pPr>
    <w:rPr>
      <w:rFonts w:asciiTheme="minorHAnsi" w:eastAsiaTheme="minorHAnsi" w:hAnsiTheme="minorHAnsi" w:cstheme="minorBidi"/>
      <w:sz w:val="20"/>
      <w:szCs w:val="20"/>
      <w:lang w:val="en-US"/>
    </w:rPr>
  </w:style>
  <w:style w:type="character" w:customStyle="1" w:styleId="FootnoteTextChar">
    <w:name w:val="Footnote Text Char"/>
    <w:basedOn w:val="DefaultParagraphFont"/>
    <w:link w:val="FootnoteText"/>
    <w:uiPriority w:val="99"/>
    <w:semiHidden/>
    <w:rsid w:val="00E02537"/>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E02537"/>
    <w:rPr>
      <w:vertAlign w:val="superscript"/>
    </w:rPr>
  </w:style>
  <w:style w:type="character" w:styleId="UnresolvedMention">
    <w:name w:val="Unresolved Mention"/>
    <w:basedOn w:val="DefaultParagraphFont"/>
    <w:uiPriority w:val="99"/>
    <w:semiHidden/>
    <w:unhideWhenUsed/>
    <w:rsid w:val="00CC7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4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ww.gnu.org/philosophy/free-sw.html"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www.iso.org/obp"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opensource.org/osd"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gnu.org/philosophy/free-sw.html" TargetMode="External"/><Relationship Id="rId20" Type="http://schemas.openxmlformats.org/officeDocument/2006/relationships/hyperlink" Target="https://www.iso.org/ob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iki.linuxfoundation.org/openchain/spec-translations" TargetMode="External"/><Relationship Id="rId5" Type="http://schemas.openxmlformats.org/officeDocument/2006/relationships/webSettings" Target="webSettings.xml"/><Relationship Id="rId15" Type="http://schemas.openxmlformats.org/officeDocument/2006/relationships/hyperlink" Target="https://opensource.org/osd" TargetMode="External"/><Relationship Id="rId23" Type="http://schemas.openxmlformats.org/officeDocument/2006/relationships/hyperlink" Target="http://www.electropedia.org/" TargetMode="External"/><Relationship Id="rId28" Type="http://schemas.openxmlformats.org/officeDocument/2006/relationships/theme" Target="theme/theme1.xml"/><Relationship Id="rId10" Type="http://schemas.openxmlformats.org/officeDocument/2006/relationships/hyperlink" Target="https://wiki.linuxfoundation.org/openchain/specification-questions-and-answers" TargetMode="External"/><Relationship Id="rId19" Type="http://schemas.openxmlformats.org/officeDocument/2006/relationships/hyperlink" Target="https://spdx.org/" TargetMode="External"/><Relationship Id="rId4" Type="http://schemas.openxmlformats.org/officeDocument/2006/relationships/settings" Target="settings.xml"/><Relationship Id="rId9" Type="http://schemas.openxmlformats.org/officeDocument/2006/relationships/hyperlink" Target="https://lists.openchainproject.org/g/specification" TargetMode="External"/><Relationship Id="rId14" Type="http://schemas.openxmlformats.org/officeDocument/2006/relationships/footer" Target="footer2.xml"/><Relationship Id="rId22" Type="http://schemas.openxmlformats.org/officeDocument/2006/relationships/hyperlink" Target="http://www.electropedia.org/"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www.openchainproject.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ja\Downloads\Simple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E4422-4F0E-D14B-8512-B45B4748E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C:\Users\rexja\Downloads\Simple_template (1).dotx</Template>
  <TotalTime>9</TotalTime>
  <Pages>12</Pages>
  <Words>3192</Words>
  <Characters>18200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Wind River</Company>
  <LinksUpToDate>false</LinksUpToDate>
  <CharactersWithSpaces>21350</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 Jaeschke</dc:creator>
  <cp:lastModifiedBy>Helary Jean-Christophe</cp:lastModifiedBy>
  <cp:revision>8</cp:revision>
  <cp:lastPrinted>2019-11-17T03:07:00Z</cp:lastPrinted>
  <dcterms:created xsi:type="dcterms:W3CDTF">2020-12-09T14:18:00Z</dcterms:created>
  <dcterms:modified xsi:type="dcterms:W3CDTF">2020-12-17T15:31:00Z</dcterms:modified>
</cp:coreProperties>
</file>