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eastAsia="zh-CN"/>
        </w:rPr>
      </w:pPr>
      <w:r>
        <w:rPr>
          <w:rFonts w:hint="eastAsia"/>
          <w:b/>
          <w:bCs/>
          <w:sz w:val="56"/>
          <w:szCs w:val="96"/>
          <w:lang w:eastAsia="zh-CN"/>
        </w:rPr>
        <w:t>国联质检</w:t>
      </w:r>
    </w:p>
    <w:p>
      <w:pPr>
        <w:jc w:val="center"/>
        <w:rPr>
          <w:rFonts w:hint="eastAsia"/>
          <w:b w:val="0"/>
          <w:bCs w:val="0"/>
          <w:sz w:val="52"/>
          <w:szCs w:val="72"/>
          <w:lang w:eastAsia="zh-CN"/>
        </w:rPr>
      </w:pPr>
      <w:r>
        <w:rPr>
          <w:rFonts w:hint="eastAsia"/>
          <w:b w:val="0"/>
          <w:bCs w:val="0"/>
          <w:sz w:val="52"/>
          <w:szCs w:val="72"/>
          <w:lang w:eastAsia="zh-CN"/>
        </w:rPr>
        <w:t>公司概况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</w:pPr>
      <w:r>
        <w:rPr>
          <w:rFonts w:hint="eastAsia"/>
          <w:b w:val="0"/>
          <w:bCs w:val="0"/>
          <w:sz w:val="36"/>
          <w:szCs w:val="44"/>
          <w:lang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  <w:t xml:space="preserve"> 西安国联质量检测技术股份有限公司，西北最大的综合性第三方检测机构，具有CMA、CMAF实验室资质，检测领域覆盖二十三个领域，1001个项目。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  <w:t xml:space="preserve"> 成立时间：2011年12月21日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  <w:t xml:space="preserve"> 股改基准日：2015年6月30日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  <w:t xml:space="preserve"> 注册资本：625.66万元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  <w:t xml:space="preserve"> 注册地址：西咸新区沣东新城天台五路29号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  <w:t xml:space="preserve"> 法人代表：杨增军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  <w:t xml:space="preserve"> 挂牌时间：2016年5月3日（股票简称：国联质检  股票代码：837554）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  <w:t xml:space="preserve">    公司以质量检验为基础、建立客户信任、发现技术问题、带动产品分析和研发，帮助企业产品改良、技术更新、成本控制，整合检测领域的优秀资源满足客户全方位技术需求，实现国家联合质量技术服务，促进质量技术信息化平台建立和质检教育的产业升级，打造“中国最大的质量技术综合服务机构”，让检测还人类绿色生活！</w:t>
      </w:r>
    </w:p>
    <w:p>
      <w:pPr>
        <w:jc w:val="left"/>
        <w:rPr>
          <w:rFonts w:hint="eastAsia"/>
          <w:b/>
          <w:bCs/>
          <w:sz w:val="44"/>
          <w:szCs w:val="52"/>
          <w:lang w:eastAsia="zh-CN"/>
        </w:rPr>
      </w:pPr>
      <w:r>
        <w:rPr>
          <w:rFonts w:hint="eastAsia"/>
          <w:b w:val="0"/>
          <w:bCs w:val="0"/>
          <w:sz w:val="36"/>
          <w:szCs w:val="44"/>
          <w:lang w:eastAsia="zh-CN"/>
        </w:rPr>
        <w:t xml:space="preserve">     </w:t>
      </w:r>
      <w:r>
        <w:rPr>
          <w:rFonts w:hint="eastAsia"/>
          <w:b/>
          <w:bCs/>
          <w:sz w:val="44"/>
          <w:szCs w:val="52"/>
          <w:lang w:eastAsia="zh-CN"/>
        </w:rPr>
        <w:t>股权结构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eastAsia="zh-CN"/>
        </w:rPr>
        <w:t>杨增军：股本</w:t>
      </w: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396.00万元 持股数量396.00万股 持股比例63.294%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西安英质捷企业管理咨询合伙企业：股本60万元 持股数量60.00万股 持股比例9.59%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宋女士：股本48.00万 持股数量48万股 持股比例7.672%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张学：股本36.00万 持股数量36.00万股 持股比例5.754%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郭先生：股本30.00万 持股数量30.00万股 持股比例4.795%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华合鼎诚：股本30.00万 持股数量30.00万股 持股比例4.795%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西安质海聚杰企业合伙企业：股本25.66万 持股数量25.66万股 持股比例4.1%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  <w:t>核心团队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杨增军：董事长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汪浩：董事会秘书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张学：技术副总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屈军：运营管控副总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 xml:space="preserve">张小慧：营销中心总监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孙哲：技术中心总监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赵大博：市场推广主任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高秋荣：化工室主任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 xml:space="preserve">张福霞：品控部主任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李成海：食品室主任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  <w:t>产品与服务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我公司现设有化工实验室、环境实验室、石油实验室、食品实验室、材料力学实验室，覆盖十五大领域的第三方质量检测和技术研发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获得技术专利17项，预审在批专利13项，在研专利3项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参加认可委能力验证32项，全部通过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参加国际IIS能力验证12项，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发表学术论文11篇，在研拟发表论文28篇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0"/>
          <w:szCs w:val="48"/>
          <w:lang w:val="en-US" w:eastAsia="zh-CN"/>
        </w:rPr>
        <w:t>行业概况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伴随着全球化趋势和国际贸易额的快速增长，质检行业成为了中国发展前景最好、增长速度最快的高技术服务行业之一。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 xml:space="preserve">     伴随着国有实验室的改革和检测市场的逐渐规范，民营检测机构成为检测机构里面机会最多、发展最快的检测机构。 </w:t>
      </w:r>
    </w:p>
    <w:p>
      <w:pPr>
        <w:ind w:firstLine="720"/>
        <w:jc w:val="left"/>
        <w:rPr>
          <w:rFonts w:hint="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 w:val="0"/>
          <w:bCs w:val="0"/>
          <w:sz w:val="44"/>
          <w:szCs w:val="52"/>
          <w:lang w:val="en-US" w:eastAsia="zh-CN"/>
        </w:rPr>
        <w:t>市场优势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1、技术优势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油品的全领域检测—国内第一；无机元素检测—国内领先；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有机元素检测—国内领先；材料物理性能检测—西北第一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2、创新的营销理念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互联网+营销模式、会议营销、专家营销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3、基础检测+“新、冷、特、少项目”检测+个性化检测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以客户为中心、以客户价值为导向、以客户满意为宗旨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4、拥有毒理功能（动物）实验室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拥有毒理功能（动物）实验室的主要集中在一些国家事业单位和各大高校，能够独立完成动物实验及后续处理的第三方检测机构在国内不多。</w:t>
      </w:r>
    </w:p>
    <w:p>
      <w:pPr>
        <w:ind w:firstLine="720"/>
        <w:jc w:val="left"/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  <w:t>财务状况：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2013年 总资产235万元 净资产91万元 收入148万元 近利润0.6万元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2014年 总资产838万元 净资产146万元 收入921万元 净利润55万元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2015年 总资产4035万元 净资产1322万元 收入1754万元 净利润497万元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发展规划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2016年我们以新三板挂牌、建立毒理功能实验室、建立中科国联实验室、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建立VOCs检测实验室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2017年我们将申请毒理功能实验室资质、申报省重点实验室 、达成四千战略、参与地方标准制定，修改</w:t>
      </w:r>
    </w:p>
    <w:p>
      <w:pPr>
        <w:ind w:firstLine="720"/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2018年申报IPO、全国建立10家分公司、GLP实验室、建立中国质量查询系统</w:t>
      </w:r>
    </w:p>
    <w:p>
      <w:pPr>
        <w:jc w:val="left"/>
        <w:rPr>
          <w:rFonts w:hint="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 w:val="0"/>
          <w:bCs w:val="0"/>
          <w:sz w:val="44"/>
          <w:szCs w:val="52"/>
          <w:lang w:val="en-US" w:eastAsia="zh-CN"/>
        </w:rPr>
        <w:t>财务预测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2016年 主营业收入4000万元 净利润为1200万元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2017年 主营业收入6000万元 净利润为1800万元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  <w:t>已融资情况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聚英资本已投资300万元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已众筹419.2万元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协和资产已投资500万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建研集团（002398）拟投资800万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久毅资本拟投资500万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  <w:t>本轮融资计划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融资额度：500万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融资方式：定向增发（机构已备案并开通新三板交易账户/自然人开通新三板交易账户）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融资价格：23.2元/股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释放股权：3.33%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资金用途：毒理功能实验室运营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公司估值：投后1.5亿（以2016年净利润1200万，12.5倍的PE计算）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  <w:t>投资回报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 xml:space="preserve"> 按照公司2016年1200万的净利润，12.5倍的PE，投后1.5亿估值计算，投资500万所占股为3.33%；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 xml:space="preserve">     若2017年通过新三板做市退出，保守估计做市企业平均市盈率为30倍，2017年公司预测净利润为1800万元，公司市值约5.4亿，则股权退出价值约为1800万元，投资回报为360%，年化收益为240%（按1.5年计算）。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52"/>
          <w:lang w:val="en-US" w:eastAsia="zh-CN"/>
        </w:rPr>
        <w:t>挂牌后定向增发（国联质检  837554）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定增增发对象：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 xml:space="preserve">    1、合格的机构投资者（协会备案、资金+资源）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 xml:space="preserve">    2、合格的个人投资者（营销、技术、市场等领域具有一定资源）；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sz w:val="44"/>
          <w:szCs w:val="52"/>
          <w:lang w:eastAsia="zh-CN"/>
        </w:rPr>
      </w:pPr>
    </w:p>
    <w:p>
      <w:pPr>
        <w:jc w:val="both"/>
        <w:rPr>
          <w:rFonts w:hint="eastAsia"/>
          <w:b w:val="0"/>
          <w:bCs w:val="0"/>
          <w:sz w:val="36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F3E7D"/>
    <w:rsid w:val="484F3E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2016-07-21T01:26:00Z</dcterms:created>
  <dc:creator>zy</dc:creator>
  <cp:lastModifiedBy>zy</cp:lastModifiedBy>
  <dcterms:modified xsi:type="dcterms:W3CDTF">2016-07-21T02:32:13Z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