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144"/>
          <w:lang w:eastAsia="zh-CN"/>
        </w:rPr>
      </w:pPr>
      <w:r>
        <w:rPr>
          <w:rFonts w:hint="eastAsia"/>
          <w:b/>
          <w:bCs/>
          <w:sz w:val="72"/>
          <w:szCs w:val="144"/>
          <w:lang w:eastAsia="zh-CN"/>
        </w:rPr>
        <w:t>森虎科技</w:t>
      </w:r>
    </w:p>
    <w:p>
      <w:pPr>
        <w:jc w:val="center"/>
        <w:rPr>
          <w:rFonts w:hint="eastAsia"/>
          <w:b w:val="0"/>
          <w:bCs w:val="0"/>
          <w:sz w:val="52"/>
          <w:szCs w:val="72"/>
          <w:lang w:eastAsia="zh-CN"/>
        </w:rPr>
      </w:pPr>
      <w:r>
        <w:rPr>
          <w:rFonts w:hint="eastAsia"/>
          <w:b w:val="0"/>
          <w:bCs w:val="0"/>
          <w:sz w:val="52"/>
          <w:szCs w:val="72"/>
          <w:lang w:eastAsia="zh-CN"/>
        </w:rPr>
        <w:t>公司概括</w:t>
      </w:r>
    </w:p>
    <w:p>
      <w:pPr>
        <w:jc w:val="left"/>
        <w:rPr>
          <w:rFonts w:hint="eastAsia"/>
          <w:b w:val="0"/>
          <w:bCs w:val="0"/>
          <w:sz w:val="28"/>
          <w:szCs w:val="36"/>
          <w:lang w:eastAsia="zh-CN"/>
        </w:rPr>
      </w:pPr>
      <w:r>
        <w:rPr>
          <w:rFonts w:hint="eastAsia"/>
          <w:b w:val="0"/>
          <w:bCs w:val="0"/>
          <w:sz w:val="28"/>
          <w:szCs w:val="36"/>
          <w:lang w:eastAsia="zh-CN"/>
        </w:rPr>
        <w:t>公司全称：深圳森虎科技股份有限公司，</w:t>
      </w:r>
    </w:p>
    <w:p>
      <w:pPr>
        <w:jc w:val="left"/>
        <w:rPr>
          <w:rFonts w:hint="eastAsia"/>
          <w:b w:val="0"/>
          <w:bCs w:val="0"/>
          <w:sz w:val="28"/>
          <w:szCs w:val="36"/>
          <w:lang w:eastAsia="zh-CN"/>
        </w:rPr>
      </w:pPr>
      <w:r>
        <w:rPr>
          <w:rFonts w:hint="eastAsia"/>
          <w:b w:val="0"/>
          <w:bCs w:val="0"/>
          <w:sz w:val="28"/>
          <w:szCs w:val="36"/>
          <w:lang w:eastAsia="zh-CN"/>
        </w:rPr>
        <w:t xml:space="preserve">成立时间：2011年7月    </w:t>
      </w:r>
    </w:p>
    <w:p>
      <w:pPr>
        <w:jc w:val="left"/>
        <w:rPr>
          <w:rFonts w:hint="eastAsia"/>
          <w:b w:val="0"/>
          <w:bCs w:val="0"/>
          <w:sz w:val="28"/>
          <w:szCs w:val="36"/>
          <w:lang w:eastAsia="zh-CN"/>
        </w:rPr>
      </w:pPr>
      <w:r>
        <w:rPr>
          <w:rFonts w:hint="eastAsia"/>
          <w:b w:val="0"/>
          <w:bCs w:val="0"/>
          <w:sz w:val="28"/>
          <w:szCs w:val="36"/>
          <w:lang w:eastAsia="zh-CN"/>
        </w:rPr>
        <w:t xml:space="preserve">注册资本：4500万元 </w:t>
      </w:r>
    </w:p>
    <w:p>
      <w:pPr>
        <w:jc w:val="left"/>
        <w:rPr>
          <w:rFonts w:hint="eastAsia"/>
          <w:b w:val="0"/>
          <w:bCs w:val="0"/>
          <w:sz w:val="28"/>
          <w:szCs w:val="36"/>
          <w:lang w:eastAsia="zh-CN"/>
        </w:rPr>
      </w:pPr>
      <w:r>
        <w:rPr>
          <w:rFonts w:hint="eastAsia"/>
          <w:b w:val="0"/>
          <w:bCs w:val="0"/>
          <w:sz w:val="28"/>
          <w:szCs w:val="36"/>
          <w:lang w:eastAsia="zh-CN"/>
        </w:rPr>
        <w:t>注册地址：深圳市福田区梅林工业区厂房2栋4楼401</w:t>
      </w:r>
    </w:p>
    <w:p>
      <w:pPr>
        <w:jc w:val="left"/>
        <w:rPr>
          <w:rFonts w:hint="eastAsia"/>
          <w:b w:val="0"/>
          <w:bCs w:val="0"/>
          <w:sz w:val="28"/>
          <w:szCs w:val="36"/>
          <w:lang w:eastAsia="zh-CN"/>
        </w:rPr>
      </w:pPr>
      <w:r>
        <w:rPr>
          <w:rFonts w:hint="eastAsia"/>
          <w:b w:val="0"/>
          <w:bCs w:val="0"/>
          <w:sz w:val="28"/>
          <w:szCs w:val="36"/>
          <w:lang w:eastAsia="zh-CN"/>
        </w:rPr>
        <w:t xml:space="preserve">法定代表人：郭强 </w:t>
      </w:r>
    </w:p>
    <w:p>
      <w:pPr>
        <w:jc w:val="left"/>
        <w:rPr>
          <w:rFonts w:hint="eastAsia"/>
          <w:b w:val="0"/>
          <w:bCs w:val="0"/>
          <w:sz w:val="28"/>
          <w:szCs w:val="36"/>
          <w:lang w:eastAsia="zh-CN"/>
        </w:rPr>
      </w:pPr>
      <w:r>
        <w:rPr>
          <w:rFonts w:hint="eastAsia"/>
          <w:b w:val="0"/>
          <w:bCs w:val="0"/>
          <w:sz w:val="28"/>
          <w:szCs w:val="36"/>
          <w:lang w:eastAsia="zh-CN"/>
        </w:rPr>
        <w:t>公司状态：新三板挂牌企业（2015年12月17日）</w:t>
      </w:r>
    </w:p>
    <w:p>
      <w:pPr>
        <w:jc w:val="left"/>
        <w:rPr>
          <w:rFonts w:hint="eastAsia"/>
          <w:b w:val="0"/>
          <w:bCs w:val="0"/>
          <w:sz w:val="28"/>
          <w:szCs w:val="36"/>
          <w:lang w:eastAsia="zh-CN"/>
        </w:rPr>
      </w:pPr>
      <w:r>
        <w:rPr>
          <w:rFonts w:hint="eastAsia"/>
          <w:b w:val="0"/>
          <w:bCs w:val="0"/>
          <w:sz w:val="28"/>
          <w:szCs w:val="36"/>
          <w:lang w:eastAsia="zh-CN"/>
        </w:rPr>
        <w:t>股票代码： 834963</w:t>
      </w:r>
    </w:p>
    <w:p>
      <w:pPr>
        <w:jc w:val="left"/>
        <w:rPr>
          <w:rFonts w:hint="eastAsia"/>
          <w:b w:val="0"/>
          <w:bCs w:val="0"/>
          <w:sz w:val="28"/>
          <w:szCs w:val="36"/>
          <w:lang w:val="en-US" w:eastAsia="zh-CN"/>
        </w:rPr>
      </w:pPr>
      <w:r>
        <w:rPr>
          <w:rFonts w:hint="eastAsia"/>
          <w:b w:val="0"/>
          <w:bCs w:val="0"/>
          <w:sz w:val="28"/>
          <w:szCs w:val="36"/>
          <w:lang w:eastAsia="zh-CN"/>
        </w:rPr>
        <w:t>目前股本共计</w:t>
      </w:r>
      <w:r>
        <w:rPr>
          <w:rFonts w:hint="eastAsia"/>
          <w:b w:val="0"/>
          <w:bCs w:val="0"/>
          <w:sz w:val="28"/>
          <w:szCs w:val="36"/>
          <w:lang w:val="en-US" w:eastAsia="zh-CN"/>
        </w:rPr>
        <w:t>4500万 分布如下：</w:t>
      </w:r>
    </w:p>
    <w:p>
      <w:pPr>
        <w:jc w:val="left"/>
        <w:rPr>
          <w:rFonts w:hint="eastAsia"/>
          <w:b w:val="0"/>
          <w:bCs w:val="0"/>
          <w:sz w:val="28"/>
          <w:szCs w:val="36"/>
          <w:lang w:val="en-US" w:eastAsia="zh-CN"/>
        </w:rPr>
      </w:pPr>
      <w:r>
        <w:rPr>
          <w:rFonts w:hint="eastAsia"/>
          <w:b w:val="0"/>
          <w:bCs w:val="0"/>
          <w:sz w:val="28"/>
          <w:szCs w:val="36"/>
          <w:lang w:val="en-US" w:eastAsia="zh-CN"/>
        </w:rPr>
        <w:t>1、深圳市协同禾盛并购基金一号合伙企业（有限合伙人）持股数量12150090股、占股比例27.00%;</w:t>
      </w:r>
    </w:p>
    <w:p>
      <w:pPr>
        <w:jc w:val="left"/>
        <w:rPr>
          <w:rFonts w:hint="eastAsia"/>
          <w:b w:val="0"/>
          <w:bCs w:val="0"/>
          <w:sz w:val="28"/>
          <w:szCs w:val="36"/>
          <w:lang w:val="en-US" w:eastAsia="zh-CN"/>
        </w:rPr>
      </w:pPr>
      <w:r>
        <w:rPr>
          <w:rFonts w:hint="eastAsia"/>
          <w:b w:val="0"/>
          <w:bCs w:val="0"/>
          <w:sz w:val="28"/>
          <w:szCs w:val="36"/>
          <w:lang w:val="en-US" w:eastAsia="zh-CN"/>
        </w:rPr>
        <w:t>2、郭强持股数量8262045股、占股比例18.36%;</w:t>
      </w:r>
    </w:p>
    <w:p>
      <w:pPr>
        <w:jc w:val="left"/>
        <w:rPr>
          <w:rFonts w:hint="eastAsia"/>
          <w:b w:val="0"/>
          <w:bCs w:val="0"/>
          <w:sz w:val="28"/>
          <w:szCs w:val="36"/>
          <w:lang w:val="en-US" w:eastAsia="zh-CN"/>
        </w:rPr>
      </w:pPr>
      <w:r>
        <w:rPr>
          <w:rFonts w:hint="eastAsia"/>
          <w:b w:val="0"/>
          <w:bCs w:val="0"/>
          <w:sz w:val="28"/>
          <w:szCs w:val="36"/>
          <w:lang w:val="en-US" w:eastAsia="zh-CN"/>
        </w:rPr>
        <w:t>3、蔡波持股数量6318045股、占股比例14.04%；</w:t>
      </w:r>
    </w:p>
    <w:p>
      <w:pPr>
        <w:jc w:val="left"/>
        <w:rPr>
          <w:rFonts w:hint="eastAsia"/>
          <w:b w:val="0"/>
          <w:bCs w:val="0"/>
          <w:sz w:val="28"/>
          <w:szCs w:val="36"/>
          <w:lang w:val="en-US" w:eastAsia="zh-CN"/>
        </w:rPr>
      </w:pPr>
      <w:r>
        <w:rPr>
          <w:rFonts w:hint="eastAsia"/>
          <w:b w:val="0"/>
          <w:bCs w:val="0"/>
          <w:sz w:val="28"/>
          <w:szCs w:val="36"/>
          <w:lang w:val="en-US" w:eastAsia="zh-CN"/>
        </w:rPr>
        <w:t>4、畅学军持股数量5297445股、占股比例11.77%；</w:t>
      </w:r>
    </w:p>
    <w:p>
      <w:pPr>
        <w:jc w:val="left"/>
        <w:rPr>
          <w:rFonts w:hint="eastAsia"/>
          <w:b w:val="0"/>
          <w:bCs w:val="0"/>
          <w:sz w:val="28"/>
          <w:szCs w:val="36"/>
          <w:lang w:val="en-US" w:eastAsia="zh-CN"/>
        </w:rPr>
      </w:pPr>
      <w:r>
        <w:rPr>
          <w:rFonts w:hint="eastAsia"/>
          <w:b w:val="0"/>
          <w:bCs w:val="0"/>
          <w:sz w:val="28"/>
          <w:szCs w:val="36"/>
          <w:lang w:val="en-US" w:eastAsia="zh-CN"/>
        </w:rPr>
        <w:t>5、黑龙江省容维投资顾问有限公司持股数量4499910股、占股比例10.00%；</w:t>
      </w:r>
    </w:p>
    <w:p>
      <w:pPr>
        <w:jc w:val="left"/>
        <w:rPr>
          <w:rFonts w:hint="eastAsia"/>
          <w:b w:val="0"/>
          <w:bCs w:val="0"/>
          <w:sz w:val="28"/>
          <w:szCs w:val="36"/>
          <w:lang w:val="en-US" w:eastAsia="zh-CN"/>
        </w:rPr>
      </w:pPr>
      <w:r>
        <w:rPr>
          <w:rFonts w:hint="eastAsia"/>
          <w:b w:val="0"/>
          <w:bCs w:val="0"/>
          <w:sz w:val="28"/>
          <w:szCs w:val="36"/>
          <w:lang w:val="en-US" w:eastAsia="zh-CN"/>
        </w:rPr>
        <w:t>6、深圳市协创讯科投资企业（普通合伙）持股数量4049865股、占股比例9.00%；</w:t>
      </w:r>
    </w:p>
    <w:p>
      <w:pPr>
        <w:jc w:val="left"/>
        <w:rPr>
          <w:rFonts w:hint="eastAsia"/>
          <w:b w:val="0"/>
          <w:bCs w:val="0"/>
          <w:sz w:val="28"/>
          <w:szCs w:val="36"/>
          <w:lang w:val="en-US" w:eastAsia="zh-CN"/>
        </w:rPr>
      </w:pPr>
      <w:r>
        <w:rPr>
          <w:rFonts w:hint="eastAsia"/>
          <w:b w:val="0"/>
          <w:bCs w:val="0"/>
          <w:sz w:val="28"/>
          <w:szCs w:val="36"/>
          <w:lang w:val="en-US" w:eastAsia="zh-CN"/>
        </w:rPr>
        <w:t>7、张毅持股数量2430000股、占股比例5.40%；</w:t>
      </w:r>
    </w:p>
    <w:p>
      <w:pPr>
        <w:jc w:val="center"/>
        <w:rPr>
          <w:rFonts w:hint="eastAsia"/>
          <w:b w:val="0"/>
          <w:bCs w:val="0"/>
          <w:sz w:val="48"/>
          <w:szCs w:val="56"/>
          <w:lang w:val="en-US" w:eastAsia="zh-CN"/>
        </w:rPr>
      </w:pPr>
      <w:r>
        <w:rPr>
          <w:rFonts w:hint="eastAsia"/>
          <w:b w:val="0"/>
          <w:bCs w:val="0"/>
          <w:sz w:val="28"/>
          <w:szCs w:val="36"/>
          <w:lang w:val="en-US" w:eastAsia="zh-CN"/>
        </w:rPr>
        <w:t>8、深圳市鼎洪兴业投资（有限合伙）占股数量1992600股、</w:t>
      </w:r>
    </w:p>
    <w:p>
      <w:pPr>
        <w:jc w:val="left"/>
        <w:rPr>
          <w:rFonts w:hint="eastAsia"/>
          <w:b w:val="0"/>
          <w:bCs w:val="0"/>
          <w:sz w:val="28"/>
          <w:szCs w:val="36"/>
          <w:lang w:val="en-US" w:eastAsia="zh-CN"/>
        </w:rPr>
      </w:pPr>
    </w:p>
    <w:p>
      <w:pPr>
        <w:jc w:val="left"/>
        <w:rPr>
          <w:rFonts w:hint="eastAsia"/>
          <w:b w:val="0"/>
          <w:bCs w:val="0"/>
          <w:sz w:val="28"/>
          <w:szCs w:val="36"/>
          <w:lang w:val="en-US" w:eastAsia="zh-CN"/>
        </w:rPr>
      </w:pPr>
      <w:r>
        <w:rPr>
          <w:rFonts w:hint="eastAsia"/>
          <w:b w:val="0"/>
          <w:bCs w:val="0"/>
          <w:sz w:val="28"/>
          <w:szCs w:val="36"/>
          <w:lang w:val="en-US" w:eastAsia="zh-CN"/>
        </w:rPr>
        <w:t>占股比例4.43%</w:t>
      </w:r>
    </w:p>
    <w:p>
      <w:pPr>
        <w:jc w:val="left"/>
        <w:rPr>
          <w:rFonts w:hint="eastAsia"/>
          <w:b w:val="0"/>
          <w:bCs w:val="0"/>
          <w:sz w:val="28"/>
          <w:szCs w:val="36"/>
          <w:lang w:val="en-US" w:eastAsia="zh-CN"/>
        </w:rPr>
      </w:pPr>
      <w:r>
        <w:rPr>
          <w:rFonts w:hint="eastAsia"/>
          <w:b w:val="0"/>
          <w:bCs w:val="0"/>
          <w:sz w:val="28"/>
          <w:szCs w:val="36"/>
          <w:lang w:val="en-US" w:eastAsia="zh-CN"/>
        </w:rPr>
        <w:t>以上股本合计4500万</w:t>
      </w:r>
    </w:p>
    <w:p>
      <w:pPr>
        <w:jc w:val="center"/>
        <w:rPr>
          <w:rFonts w:hint="eastAsia"/>
          <w:b w:val="0"/>
          <w:bCs w:val="0"/>
          <w:sz w:val="52"/>
          <w:szCs w:val="72"/>
          <w:lang w:val="en-US" w:eastAsia="zh-CN"/>
        </w:rPr>
      </w:pPr>
      <w:bookmarkStart w:id="0" w:name="OLE_LINK1"/>
      <w:r>
        <w:rPr>
          <w:rFonts w:hint="eastAsia"/>
          <w:b w:val="0"/>
          <w:bCs w:val="0"/>
          <w:sz w:val="52"/>
          <w:szCs w:val="72"/>
          <w:lang w:val="en-US" w:eastAsia="zh-CN"/>
        </w:rPr>
        <w:t>产品与技术</w:t>
      </w:r>
    </w:p>
    <w:bookmarkEnd w:id="0"/>
    <w:p>
      <w:pPr>
        <w:jc w:val="left"/>
        <w:rPr>
          <w:rFonts w:hint="eastAsia"/>
          <w:b w:val="0"/>
          <w:bCs w:val="0"/>
          <w:sz w:val="28"/>
          <w:szCs w:val="36"/>
          <w:lang w:val="en-US" w:eastAsia="zh-CN"/>
        </w:rPr>
      </w:pPr>
      <w:r>
        <w:rPr>
          <w:rFonts w:hint="eastAsia"/>
          <w:b w:val="0"/>
          <w:bCs w:val="0"/>
          <w:sz w:val="28"/>
          <w:szCs w:val="36"/>
          <w:lang w:val="en-US" w:eastAsia="zh-CN"/>
        </w:rPr>
        <w:t>主营业务：专业无线集群通信解决方案及终端设备的设计、研发与销售</w:t>
      </w:r>
    </w:p>
    <w:p>
      <w:pPr>
        <w:jc w:val="left"/>
        <w:rPr>
          <w:rFonts w:hint="eastAsia"/>
          <w:b w:val="0"/>
          <w:bCs w:val="0"/>
          <w:sz w:val="28"/>
          <w:szCs w:val="36"/>
          <w:lang w:val="en-US" w:eastAsia="zh-CN"/>
        </w:rPr>
      </w:pPr>
      <w:r>
        <w:rPr>
          <w:rFonts w:hint="eastAsia"/>
          <w:b w:val="0"/>
          <w:bCs w:val="0"/>
          <w:sz w:val="28"/>
          <w:szCs w:val="36"/>
          <w:lang w:val="en-US" w:eastAsia="zh-CN"/>
        </w:rPr>
        <w:t>技术与简介</w:t>
      </w:r>
    </w:p>
    <w:p>
      <w:pPr>
        <w:jc w:val="left"/>
        <w:rPr>
          <w:rFonts w:hint="eastAsia"/>
          <w:b w:val="0"/>
          <w:bCs w:val="0"/>
          <w:sz w:val="28"/>
          <w:szCs w:val="36"/>
          <w:lang w:val="en-US" w:eastAsia="zh-CN"/>
        </w:rPr>
      </w:pPr>
      <w:r>
        <w:rPr>
          <w:rFonts w:hint="eastAsia"/>
          <w:b w:val="0"/>
          <w:bCs w:val="0"/>
          <w:sz w:val="28"/>
          <w:szCs w:val="36"/>
          <w:lang w:val="en-US" w:eastAsia="zh-CN"/>
        </w:rPr>
        <w:t>消除红外触摸系统中非正常接触性干扰方法；</w:t>
      </w:r>
    </w:p>
    <w:p>
      <w:pPr>
        <w:jc w:val="left"/>
        <w:rPr>
          <w:rFonts w:hint="eastAsia"/>
          <w:b w:val="0"/>
          <w:bCs w:val="0"/>
          <w:sz w:val="28"/>
          <w:szCs w:val="36"/>
          <w:lang w:val="en-US" w:eastAsia="zh-CN"/>
        </w:rPr>
      </w:pPr>
      <w:r>
        <w:rPr>
          <w:rFonts w:hint="eastAsia"/>
          <w:b w:val="0"/>
          <w:bCs w:val="0"/>
          <w:sz w:val="28"/>
          <w:szCs w:val="36"/>
          <w:lang w:val="en-US" w:eastAsia="zh-CN"/>
        </w:rPr>
        <w:t>从红外输出的一维电压信号检测角度，展开红外条件下的非正常性接触抗干扰讨论，并且不受初始检测时单触点的严格要求限制。</w:t>
      </w:r>
    </w:p>
    <w:p>
      <w:pPr>
        <w:jc w:val="left"/>
        <w:rPr>
          <w:rFonts w:hint="eastAsia"/>
          <w:b w:val="0"/>
          <w:bCs w:val="0"/>
          <w:sz w:val="28"/>
          <w:szCs w:val="36"/>
          <w:lang w:val="en-US" w:eastAsia="zh-CN"/>
        </w:rPr>
      </w:pPr>
    </w:p>
    <w:p>
      <w:pPr>
        <w:jc w:val="left"/>
        <w:rPr>
          <w:rFonts w:hint="eastAsia"/>
          <w:b w:val="0"/>
          <w:bCs w:val="0"/>
          <w:sz w:val="28"/>
          <w:szCs w:val="36"/>
          <w:lang w:val="en-US" w:eastAsia="zh-CN"/>
        </w:rPr>
      </w:pPr>
      <w:r>
        <w:rPr>
          <w:rFonts w:hint="eastAsia"/>
          <w:b w:val="0"/>
          <w:bCs w:val="0"/>
          <w:sz w:val="28"/>
          <w:szCs w:val="36"/>
          <w:lang w:val="en-US" w:eastAsia="zh-CN"/>
        </w:rPr>
        <w:t>减小锁相环电路锁定时间的方法、锁相环电路及其应用；</w:t>
      </w:r>
    </w:p>
    <w:p>
      <w:pPr>
        <w:jc w:val="left"/>
        <w:rPr>
          <w:rFonts w:hint="eastAsia"/>
          <w:b w:val="0"/>
          <w:bCs w:val="0"/>
          <w:sz w:val="28"/>
          <w:szCs w:val="36"/>
          <w:lang w:val="en-US" w:eastAsia="zh-CN"/>
        </w:rPr>
      </w:pPr>
      <w:r>
        <w:rPr>
          <w:rFonts w:hint="eastAsia"/>
          <w:b w:val="0"/>
          <w:bCs w:val="0"/>
          <w:sz w:val="28"/>
          <w:szCs w:val="36"/>
          <w:lang w:val="en-US" w:eastAsia="zh-CN"/>
        </w:rPr>
        <w:t>TDMA无线收发信设计尤其适用于PDT&amp;DMR数字集群通信领域。</w:t>
      </w:r>
    </w:p>
    <w:p>
      <w:pPr>
        <w:jc w:val="left"/>
        <w:rPr>
          <w:rFonts w:hint="eastAsia"/>
          <w:b w:val="0"/>
          <w:bCs w:val="0"/>
          <w:sz w:val="28"/>
          <w:szCs w:val="36"/>
          <w:lang w:val="en-US" w:eastAsia="zh-CN"/>
        </w:rPr>
      </w:pPr>
    </w:p>
    <w:p>
      <w:pPr>
        <w:jc w:val="left"/>
        <w:rPr>
          <w:rFonts w:hint="eastAsia"/>
          <w:b w:val="0"/>
          <w:bCs w:val="0"/>
          <w:sz w:val="28"/>
          <w:szCs w:val="36"/>
          <w:lang w:val="en-US" w:eastAsia="zh-CN"/>
        </w:rPr>
      </w:pPr>
      <w:r>
        <w:rPr>
          <w:rFonts w:hint="eastAsia"/>
          <w:b w:val="0"/>
          <w:bCs w:val="0"/>
          <w:sz w:val="28"/>
          <w:szCs w:val="36"/>
          <w:lang w:val="en-US" w:eastAsia="zh-CN"/>
        </w:rPr>
        <w:t>高性能宽频带压控振荡器、宽频带锁相环电路及其应用；</w:t>
      </w:r>
    </w:p>
    <w:p>
      <w:pPr>
        <w:jc w:val="left"/>
        <w:rPr>
          <w:rFonts w:hint="eastAsia"/>
          <w:b w:val="0"/>
          <w:bCs w:val="0"/>
          <w:sz w:val="28"/>
          <w:szCs w:val="36"/>
          <w:lang w:val="en-US" w:eastAsia="zh-CN"/>
        </w:rPr>
      </w:pPr>
      <w:r>
        <w:rPr>
          <w:rFonts w:hint="eastAsia"/>
          <w:b w:val="0"/>
          <w:bCs w:val="0"/>
          <w:sz w:val="28"/>
          <w:szCs w:val="36"/>
          <w:lang w:val="en-US" w:eastAsia="zh-CN"/>
        </w:rPr>
        <w:t>TDMA宽频带无线收发信设计尤其适用于多频段数字集群通信终端。</w:t>
      </w:r>
    </w:p>
    <w:p>
      <w:pPr>
        <w:jc w:val="left"/>
        <w:rPr>
          <w:rFonts w:hint="eastAsia"/>
          <w:b w:val="0"/>
          <w:bCs w:val="0"/>
          <w:sz w:val="28"/>
          <w:szCs w:val="36"/>
          <w:lang w:val="en-US" w:eastAsia="zh-CN"/>
        </w:rPr>
      </w:pPr>
    </w:p>
    <w:p>
      <w:pPr>
        <w:jc w:val="left"/>
        <w:rPr>
          <w:rFonts w:hint="eastAsia"/>
          <w:b w:val="0"/>
          <w:bCs w:val="0"/>
          <w:sz w:val="28"/>
          <w:szCs w:val="36"/>
          <w:lang w:val="en-US" w:eastAsia="zh-CN"/>
        </w:rPr>
      </w:pPr>
      <w:r>
        <w:rPr>
          <w:rFonts w:hint="eastAsia"/>
          <w:b w:val="0"/>
          <w:bCs w:val="0"/>
          <w:sz w:val="28"/>
          <w:szCs w:val="36"/>
          <w:lang w:val="en-US" w:eastAsia="zh-CN"/>
        </w:rPr>
        <w:t>专业无线通讯语音通信中传输除语音数据以外的数据的方法；</w:t>
      </w:r>
    </w:p>
    <w:p>
      <w:pPr>
        <w:jc w:val="left"/>
        <w:rPr>
          <w:rFonts w:hint="eastAsia"/>
          <w:b w:val="0"/>
          <w:bCs w:val="0"/>
          <w:sz w:val="28"/>
          <w:szCs w:val="36"/>
          <w:lang w:val="en-US" w:eastAsia="zh-CN"/>
        </w:rPr>
      </w:pPr>
      <w:r>
        <w:rPr>
          <w:rFonts w:hint="eastAsia"/>
          <w:b w:val="0"/>
          <w:bCs w:val="0"/>
          <w:sz w:val="28"/>
          <w:szCs w:val="36"/>
          <w:lang w:val="en-US" w:eastAsia="zh-CN"/>
        </w:rPr>
        <w:t>应用于DMR/PDT无线通信设备，在系统业务调度、数据通信、语音传输、位置信息传输等功能中，提供一种语音信息和信令或数据信息同时传输的方法。</w:t>
      </w:r>
    </w:p>
    <w:p>
      <w:pPr>
        <w:jc w:val="left"/>
        <w:rPr>
          <w:rFonts w:hint="eastAsia"/>
          <w:b w:val="0"/>
          <w:bCs w:val="0"/>
          <w:sz w:val="28"/>
          <w:szCs w:val="36"/>
          <w:lang w:val="en-US" w:eastAsia="zh-CN"/>
        </w:rPr>
      </w:pPr>
    </w:p>
    <w:p>
      <w:pPr>
        <w:jc w:val="left"/>
        <w:rPr>
          <w:rFonts w:hint="eastAsia"/>
          <w:b w:val="0"/>
          <w:bCs w:val="0"/>
          <w:sz w:val="28"/>
          <w:szCs w:val="36"/>
          <w:lang w:val="en-US" w:eastAsia="zh-CN"/>
        </w:rPr>
      </w:pPr>
      <w:r>
        <w:rPr>
          <w:rFonts w:hint="eastAsia"/>
          <w:b w:val="0"/>
          <w:bCs w:val="0"/>
          <w:sz w:val="28"/>
          <w:szCs w:val="36"/>
          <w:lang w:val="en-US" w:eastAsia="zh-CN"/>
        </w:rPr>
        <w:t>语音业务中传输位置信息的方法；</w:t>
      </w:r>
    </w:p>
    <w:p>
      <w:pPr>
        <w:jc w:val="left"/>
        <w:rPr>
          <w:rFonts w:hint="eastAsia"/>
          <w:b w:val="0"/>
          <w:bCs w:val="0"/>
          <w:sz w:val="28"/>
          <w:szCs w:val="36"/>
          <w:lang w:val="en-US" w:eastAsia="zh-CN"/>
        </w:rPr>
      </w:pPr>
      <w:r>
        <w:rPr>
          <w:rFonts w:hint="eastAsia"/>
          <w:b w:val="0"/>
          <w:bCs w:val="0"/>
          <w:sz w:val="28"/>
          <w:szCs w:val="36"/>
          <w:lang w:val="en-US" w:eastAsia="zh-CN"/>
        </w:rPr>
        <w:t>利用语音感知特点在语音通信中进行位置信息即时传输的方法和应用，并提供多种位置信息传输方法以及一种语数同传时的最简数据传输方法。</w:t>
      </w:r>
    </w:p>
    <w:p>
      <w:pPr>
        <w:jc w:val="left"/>
        <w:rPr>
          <w:rFonts w:hint="eastAsia"/>
          <w:b w:val="0"/>
          <w:bCs w:val="0"/>
          <w:sz w:val="28"/>
          <w:szCs w:val="36"/>
          <w:lang w:val="en-US" w:eastAsia="zh-CN"/>
        </w:rPr>
      </w:pPr>
    </w:p>
    <w:p>
      <w:pPr>
        <w:jc w:val="left"/>
        <w:rPr>
          <w:rFonts w:hint="eastAsia"/>
          <w:b w:val="0"/>
          <w:bCs w:val="0"/>
          <w:sz w:val="28"/>
          <w:szCs w:val="36"/>
          <w:lang w:val="en-US" w:eastAsia="zh-CN"/>
        </w:rPr>
      </w:pPr>
      <w:r>
        <w:rPr>
          <w:rFonts w:hint="eastAsia"/>
          <w:b w:val="0"/>
          <w:bCs w:val="0"/>
          <w:sz w:val="28"/>
          <w:szCs w:val="36"/>
          <w:lang w:val="en-US" w:eastAsia="zh-CN"/>
        </w:rPr>
        <w:t>提高锁相环输出频率精度的方法及其锁相环频率合成器；</w:t>
      </w:r>
    </w:p>
    <w:p>
      <w:pPr>
        <w:jc w:val="left"/>
        <w:rPr>
          <w:rFonts w:hint="eastAsia"/>
          <w:b w:val="0"/>
          <w:bCs w:val="0"/>
          <w:sz w:val="28"/>
          <w:szCs w:val="36"/>
          <w:lang w:val="en-US" w:eastAsia="zh-CN"/>
        </w:rPr>
      </w:pPr>
      <w:r>
        <w:rPr>
          <w:rFonts w:hint="eastAsia"/>
          <w:b w:val="0"/>
          <w:bCs w:val="0"/>
          <w:sz w:val="28"/>
          <w:szCs w:val="36"/>
          <w:lang w:val="en-US" w:eastAsia="zh-CN"/>
        </w:rPr>
        <w:t>通过软件算法控制TCXO电压控制脚的电压来改变输出频率、提高锁相环输出频率精度的方法。</w:t>
      </w:r>
    </w:p>
    <w:p>
      <w:pPr>
        <w:jc w:val="left"/>
        <w:rPr>
          <w:rFonts w:hint="eastAsia"/>
          <w:b w:val="0"/>
          <w:bCs w:val="0"/>
          <w:sz w:val="28"/>
          <w:szCs w:val="36"/>
          <w:lang w:val="en-US" w:eastAsia="zh-CN"/>
        </w:rPr>
      </w:pPr>
      <w:r>
        <w:rPr>
          <w:rFonts w:hint="eastAsia"/>
          <w:b w:val="0"/>
          <w:bCs w:val="0"/>
          <w:sz w:val="28"/>
          <w:szCs w:val="36"/>
          <w:lang w:val="en-US" w:eastAsia="zh-CN"/>
        </w:rPr>
        <w:t>我们现已：发明专利5项</w:t>
      </w:r>
    </w:p>
    <w:p>
      <w:pPr>
        <w:jc w:val="left"/>
        <w:rPr>
          <w:rFonts w:hint="eastAsia"/>
          <w:b w:val="0"/>
          <w:bCs w:val="0"/>
          <w:sz w:val="28"/>
          <w:szCs w:val="36"/>
          <w:lang w:val="en-US" w:eastAsia="zh-CN"/>
        </w:rPr>
      </w:pPr>
      <w:r>
        <w:rPr>
          <w:rFonts w:hint="eastAsia"/>
          <w:b w:val="0"/>
          <w:bCs w:val="0"/>
          <w:sz w:val="28"/>
          <w:szCs w:val="36"/>
          <w:lang w:val="en-US" w:eastAsia="zh-CN"/>
        </w:rPr>
        <w:t xml:space="preserve">          外观设计专利6项</w:t>
      </w:r>
    </w:p>
    <w:p>
      <w:pPr>
        <w:jc w:val="left"/>
        <w:rPr>
          <w:rFonts w:hint="eastAsia"/>
          <w:b w:val="0"/>
          <w:bCs w:val="0"/>
          <w:sz w:val="28"/>
          <w:szCs w:val="36"/>
          <w:lang w:val="en-US" w:eastAsia="zh-CN"/>
        </w:rPr>
      </w:pPr>
      <w:r>
        <w:rPr>
          <w:rFonts w:hint="eastAsia"/>
          <w:b w:val="0"/>
          <w:bCs w:val="0"/>
          <w:sz w:val="28"/>
          <w:szCs w:val="36"/>
          <w:lang w:val="en-US" w:eastAsia="zh-CN"/>
        </w:rPr>
        <w:t xml:space="preserve">          实用新型专利14项</w:t>
      </w:r>
    </w:p>
    <w:p>
      <w:pPr>
        <w:jc w:val="left"/>
        <w:rPr>
          <w:rFonts w:hint="eastAsia"/>
          <w:b w:val="0"/>
          <w:bCs w:val="0"/>
          <w:sz w:val="36"/>
          <w:szCs w:val="44"/>
          <w:lang w:val="en-US" w:eastAsia="zh-CN"/>
        </w:rPr>
      </w:pPr>
    </w:p>
    <w:p>
      <w:pPr>
        <w:jc w:val="left"/>
        <w:rPr>
          <w:rFonts w:hint="eastAsia"/>
          <w:b w:val="0"/>
          <w:bCs w:val="0"/>
          <w:sz w:val="36"/>
          <w:szCs w:val="44"/>
          <w:lang w:val="en-US" w:eastAsia="zh-CN"/>
        </w:rPr>
      </w:pPr>
    </w:p>
    <w:p>
      <w:pPr>
        <w:jc w:val="left"/>
        <w:rPr>
          <w:rFonts w:hint="eastAsia"/>
          <w:b w:val="0"/>
          <w:bCs w:val="0"/>
          <w:sz w:val="36"/>
          <w:szCs w:val="44"/>
          <w:lang w:val="en-US" w:eastAsia="zh-CN"/>
        </w:rPr>
      </w:pPr>
    </w:p>
    <w:p>
      <w:pPr>
        <w:jc w:val="left"/>
        <w:rPr>
          <w:rFonts w:hint="eastAsia"/>
          <w:b w:val="0"/>
          <w:bCs w:val="0"/>
          <w:sz w:val="36"/>
          <w:szCs w:val="44"/>
          <w:lang w:val="en-US" w:eastAsia="zh-CN"/>
        </w:rPr>
      </w:pPr>
    </w:p>
    <w:p>
      <w:pPr>
        <w:jc w:val="center"/>
        <w:rPr>
          <w:rFonts w:hint="eastAsia"/>
          <w:b w:val="0"/>
          <w:bCs w:val="0"/>
          <w:sz w:val="56"/>
          <w:szCs w:val="96"/>
          <w:lang w:val="en-US" w:eastAsia="zh-CN"/>
        </w:rPr>
      </w:pPr>
      <w:r>
        <w:rPr>
          <w:rFonts w:hint="eastAsia"/>
          <w:b w:val="0"/>
          <w:bCs w:val="0"/>
          <w:sz w:val="56"/>
          <w:szCs w:val="96"/>
          <w:lang w:val="en-US" w:eastAsia="zh-CN"/>
        </w:rPr>
        <w:t>行业概括</w:t>
      </w:r>
    </w:p>
    <w:p>
      <w:pPr>
        <w:jc w:val="left"/>
        <w:rPr>
          <w:rFonts w:hint="eastAsia"/>
          <w:b w:val="0"/>
          <w:bCs w:val="0"/>
          <w:sz w:val="28"/>
          <w:szCs w:val="36"/>
          <w:lang w:val="en-US" w:eastAsia="zh-CN"/>
        </w:rPr>
      </w:pPr>
      <w:r>
        <w:rPr>
          <w:rFonts w:hint="eastAsia"/>
          <w:b w:val="0"/>
          <w:bCs w:val="0"/>
          <w:sz w:val="28"/>
          <w:szCs w:val="36"/>
          <w:lang w:val="en-US" w:eastAsia="zh-CN"/>
        </w:rPr>
        <w:t>行业背景</w:t>
      </w:r>
    </w:p>
    <w:p>
      <w:pPr>
        <w:jc w:val="left"/>
        <w:rPr>
          <w:rFonts w:hint="eastAsia"/>
          <w:b w:val="0"/>
          <w:bCs w:val="0"/>
          <w:sz w:val="28"/>
          <w:szCs w:val="36"/>
          <w:lang w:val="en-US" w:eastAsia="zh-CN"/>
        </w:rPr>
      </w:pPr>
      <w:r>
        <w:rPr>
          <w:rFonts w:hint="eastAsia"/>
          <w:b w:val="0"/>
          <w:bCs w:val="0"/>
          <w:sz w:val="28"/>
          <w:szCs w:val="36"/>
          <w:lang w:val="en-US" w:eastAsia="zh-CN"/>
        </w:rPr>
        <w:t>专网：主要为政府与公共安全、公共事业、工商领域行业用户提供应急、指挥调度通讯服务，主要强调社会效益。系统更加关注通讯管理、可靠性、高效、安全等特性。作为工作工具，为适应特定环境，强调终端可靠性，如设备防水、防震、防爆等特性。一般由用户自行出资建设，并进行网络维护与用户管理。</w:t>
      </w:r>
    </w:p>
    <w:p>
      <w:pPr>
        <w:jc w:val="left"/>
        <w:rPr>
          <w:rFonts w:hint="eastAsia"/>
          <w:b w:val="0"/>
          <w:bCs w:val="0"/>
          <w:sz w:val="28"/>
          <w:szCs w:val="36"/>
          <w:lang w:val="en-US" w:eastAsia="zh-CN"/>
        </w:rPr>
      </w:pPr>
      <w:r>
        <w:rPr>
          <w:rFonts w:hint="eastAsia"/>
          <w:b w:val="0"/>
          <w:bCs w:val="0"/>
          <w:sz w:val="28"/>
          <w:szCs w:val="36"/>
          <w:lang w:val="en-US" w:eastAsia="zh-CN"/>
        </w:rPr>
        <w:t>公网：主要为社会公众用户提个人供通信服务，网络运营通常以经济效益为主要目的。更加关注个人用户的通信体验。做为个人消费品，用户更加注重终端的娱乐功能。由运营商统一进行网络建设、运营维护和用户管理。</w:t>
      </w:r>
    </w:p>
    <w:p>
      <w:pPr>
        <w:jc w:val="left"/>
        <w:rPr>
          <w:rFonts w:hint="eastAsia"/>
          <w:b w:val="0"/>
          <w:bCs w:val="0"/>
          <w:sz w:val="28"/>
          <w:szCs w:val="36"/>
          <w:lang w:val="en-US" w:eastAsia="zh-CN"/>
        </w:rPr>
      </w:pPr>
      <w:r>
        <w:rPr>
          <w:rFonts w:hint="eastAsia"/>
          <w:b w:val="0"/>
          <w:bCs w:val="0"/>
          <w:sz w:val="28"/>
          <w:szCs w:val="36"/>
          <w:lang w:val="en-US" w:eastAsia="zh-CN"/>
        </w:rPr>
        <w:t>发达国家已培育出较大规模的专网产业，从建国初期到八十年代，我国专网通信领先于公众通信，2007年后，我国专网通信迎来了第二个发展春天。</w:t>
      </w:r>
    </w:p>
    <w:p>
      <w:pPr>
        <w:jc w:val="left"/>
        <w:rPr>
          <w:rFonts w:hint="eastAsia"/>
          <w:b w:val="0"/>
          <w:bCs w:val="0"/>
          <w:sz w:val="28"/>
          <w:szCs w:val="36"/>
          <w:lang w:val="en-US" w:eastAsia="zh-CN"/>
        </w:rPr>
      </w:pPr>
      <w:r>
        <w:rPr>
          <w:rFonts w:hint="eastAsia"/>
          <w:b w:val="0"/>
          <w:bCs w:val="0"/>
          <w:sz w:val="28"/>
          <w:szCs w:val="36"/>
          <w:lang w:val="en-US" w:eastAsia="zh-CN"/>
        </w:rPr>
        <w:t>我们的主要对手是摩托罗拉和海能达</w:t>
      </w:r>
    </w:p>
    <w:p>
      <w:pPr>
        <w:jc w:val="left"/>
        <w:rPr>
          <w:rFonts w:hint="eastAsia"/>
          <w:b w:val="0"/>
          <w:bCs w:val="0"/>
          <w:sz w:val="40"/>
          <w:szCs w:val="48"/>
          <w:lang w:val="en-US" w:eastAsia="zh-CN"/>
        </w:rPr>
      </w:pPr>
      <w:r>
        <w:rPr>
          <w:rFonts w:hint="eastAsia"/>
          <w:b w:val="0"/>
          <w:bCs w:val="0"/>
          <w:sz w:val="28"/>
          <w:szCs w:val="36"/>
          <w:lang w:val="en-US" w:eastAsia="zh-CN"/>
        </w:rPr>
        <w:t>我们所占优势是有更高的更新的技术平台，通信距离直通模式4.8公里，自助的加密和通信安全保障，</w:t>
      </w:r>
      <w:bookmarkStart w:id="1" w:name="OLE_LINK2"/>
      <w:r>
        <w:rPr>
          <w:rFonts w:hint="eastAsia"/>
          <w:b w:val="0"/>
          <w:bCs w:val="0"/>
          <w:sz w:val="28"/>
          <w:szCs w:val="36"/>
          <w:lang w:val="en-US" w:eastAsia="zh-CN"/>
        </w:rPr>
        <w:t xml:space="preserve"> </w:t>
      </w:r>
      <w:bookmarkEnd w:id="1"/>
      <w:r>
        <w:rPr>
          <w:rFonts w:hint="eastAsia"/>
          <w:b w:val="0"/>
          <w:bCs w:val="0"/>
          <w:sz w:val="28"/>
          <w:szCs w:val="36"/>
          <w:lang w:val="en-US" w:eastAsia="zh-CN"/>
        </w:rPr>
        <w:t xml:space="preserve"> 低功耗产品平台，较长的待机时间，快速的业务提升，更新的开发平台，更小的尺寸和重量，灵活的业务功能定制开发，快速的服务响应，具有竞争力的价格优势。</w:t>
      </w:r>
      <w:r>
        <w:rPr>
          <w:rFonts w:hint="eastAsia"/>
          <w:b w:val="0"/>
          <w:bCs w:val="0"/>
          <w:sz w:val="40"/>
          <w:szCs w:val="48"/>
          <w:lang w:val="en-US" w:eastAsia="zh-CN"/>
        </w:rPr>
        <w:t xml:space="preserve"> </w:t>
      </w:r>
    </w:p>
    <w:p>
      <w:pPr>
        <w:jc w:val="center"/>
        <w:rPr>
          <w:rFonts w:hint="eastAsia"/>
          <w:b/>
          <w:bCs/>
          <w:sz w:val="56"/>
          <w:szCs w:val="96"/>
          <w:lang w:val="en-US" w:eastAsia="zh-CN"/>
        </w:rPr>
      </w:pPr>
      <w:r>
        <w:rPr>
          <w:rFonts w:hint="eastAsia"/>
          <w:b/>
          <w:bCs/>
          <w:sz w:val="56"/>
          <w:szCs w:val="96"/>
          <w:lang w:val="en-US" w:eastAsia="zh-CN"/>
        </w:rPr>
        <w:t>财务状况</w:t>
      </w:r>
    </w:p>
    <w:p>
      <w:pPr>
        <w:jc w:val="left"/>
        <w:rPr>
          <w:rFonts w:hint="eastAsia"/>
          <w:b w:val="0"/>
          <w:bCs w:val="0"/>
          <w:sz w:val="32"/>
          <w:szCs w:val="40"/>
          <w:lang w:val="en-US" w:eastAsia="zh-CN"/>
        </w:rPr>
      </w:pPr>
      <w:r>
        <w:rPr>
          <w:rFonts w:hint="eastAsia"/>
          <w:b w:val="0"/>
          <w:bCs w:val="0"/>
          <w:sz w:val="32"/>
          <w:szCs w:val="40"/>
          <w:lang w:val="en-US" w:eastAsia="zh-CN"/>
        </w:rPr>
        <w:t>2013年营业收入为337.88万元 净利润%-67.78万元</w:t>
      </w:r>
    </w:p>
    <w:p>
      <w:pPr>
        <w:jc w:val="left"/>
        <w:rPr>
          <w:rFonts w:hint="eastAsia"/>
          <w:b w:val="0"/>
          <w:bCs w:val="0"/>
          <w:sz w:val="32"/>
          <w:szCs w:val="40"/>
          <w:lang w:val="en-US" w:eastAsia="zh-CN"/>
        </w:rPr>
      </w:pPr>
      <w:r>
        <w:rPr>
          <w:rFonts w:hint="eastAsia"/>
          <w:b w:val="0"/>
          <w:bCs w:val="0"/>
          <w:sz w:val="32"/>
          <w:szCs w:val="40"/>
          <w:lang w:val="en-US" w:eastAsia="zh-CN"/>
        </w:rPr>
        <w:t>2014年营业收入为745.25万元 净利润为9.87万元 净利润增长率为114.6%</w:t>
      </w:r>
    </w:p>
    <w:p>
      <w:pPr>
        <w:jc w:val="left"/>
        <w:rPr>
          <w:rFonts w:hint="eastAsia"/>
          <w:b w:val="0"/>
          <w:bCs w:val="0"/>
          <w:sz w:val="32"/>
          <w:szCs w:val="40"/>
          <w:lang w:val="en-US" w:eastAsia="zh-CN"/>
        </w:rPr>
      </w:pPr>
      <w:r>
        <w:rPr>
          <w:rFonts w:hint="eastAsia"/>
          <w:b w:val="0"/>
          <w:bCs w:val="0"/>
          <w:sz w:val="32"/>
          <w:szCs w:val="40"/>
          <w:lang w:val="en-US" w:eastAsia="zh-CN"/>
        </w:rPr>
        <w:t>2015年营业收入为5786.97万元 净利润为541.52万元 净利润增长率为5384.7%</w:t>
      </w:r>
    </w:p>
    <w:p>
      <w:pPr>
        <w:jc w:val="left"/>
        <w:rPr>
          <w:rFonts w:hint="eastAsia"/>
          <w:b w:val="0"/>
          <w:bCs w:val="0"/>
          <w:sz w:val="48"/>
          <w:szCs w:val="48"/>
          <w:lang w:val="en-US" w:eastAsia="zh-CN"/>
        </w:rPr>
      </w:pPr>
      <w:r>
        <w:rPr>
          <w:rFonts w:hint="eastAsia"/>
          <w:b w:val="0"/>
          <w:bCs w:val="0"/>
          <w:sz w:val="48"/>
          <w:szCs w:val="48"/>
          <w:lang w:val="en-US" w:eastAsia="zh-CN"/>
        </w:rPr>
        <w:t>财务预测</w:t>
      </w:r>
    </w:p>
    <w:p>
      <w:pPr>
        <w:jc w:val="left"/>
        <w:rPr>
          <w:rFonts w:hint="eastAsia"/>
          <w:b w:val="0"/>
          <w:bCs w:val="0"/>
          <w:sz w:val="36"/>
          <w:szCs w:val="36"/>
          <w:lang w:val="en-US" w:eastAsia="zh-CN"/>
        </w:rPr>
      </w:pPr>
      <w:r>
        <w:rPr>
          <w:rFonts w:hint="eastAsia"/>
          <w:b w:val="0"/>
          <w:bCs w:val="0"/>
          <w:sz w:val="36"/>
          <w:szCs w:val="36"/>
          <w:lang w:val="en-US" w:eastAsia="zh-CN"/>
        </w:rPr>
        <w:t>2016年营业收入达13000万元 净利润为1500万元</w:t>
      </w:r>
    </w:p>
    <w:p>
      <w:pPr>
        <w:jc w:val="left"/>
        <w:rPr>
          <w:rFonts w:hint="eastAsia"/>
          <w:b w:val="0"/>
          <w:bCs w:val="0"/>
          <w:sz w:val="36"/>
          <w:szCs w:val="36"/>
          <w:lang w:val="en-US" w:eastAsia="zh-CN"/>
        </w:rPr>
      </w:pPr>
      <w:r>
        <w:rPr>
          <w:rFonts w:hint="eastAsia"/>
          <w:b w:val="0"/>
          <w:bCs w:val="0"/>
          <w:sz w:val="36"/>
          <w:szCs w:val="36"/>
          <w:lang w:val="en-US" w:eastAsia="zh-CN"/>
        </w:rPr>
        <w:t>2017年营业收入达23000万元 净利润为2300万元</w:t>
      </w:r>
    </w:p>
    <w:p>
      <w:pPr>
        <w:jc w:val="left"/>
        <w:rPr>
          <w:rFonts w:hint="eastAsia"/>
          <w:b w:val="0"/>
          <w:bCs w:val="0"/>
          <w:sz w:val="36"/>
          <w:szCs w:val="36"/>
          <w:lang w:val="en-US" w:eastAsia="zh-CN"/>
        </w:rPr>
      </w:pPr>
      <w:r>
        <w:rPr>
          <w:rFonts w:hint="eastAsia"/>
          <w:b w:val="0"/>
          <w:bCs w:val="0"/>
          <w:sz w:val="36"/>
          <w:szCs w:val="36"/>
          <w:lang w:val="en-US" w:eastAsia="zh-CN"/>
        </w:rPr>
        <w:t>2018年营业收入为30000万元 净利润为3900万元</w:t>
      </w:r>
    </w:p>
    <w:p>
      <w:pPr>
        <w:jc w:val="left"/>
        <w:rPr>
          <w:rFonts w:hint="eastAsia"/>
          <w:b w:val="0"/>
          <w:bCs w:val="0"/>
          <w:sz w:val="36"/>
          <w:szCs w:val="36"/>
          <w:lang w:val="en-US" w:eastAsia="zh-CN"/>
        </w:rPr>
      </w:pPr>
      <w:r>
        <w:rPr>
          <w:rFonts w:hint="eastAsia"/>
          <w:b w:val="0"/>
          <w:bCs w:val="0"/>
          <w:sz w:val="36"/>
          <w:szCs w:val="36"/>
          <w:lang w:val="en-US" w:eastAsia="zh-CN"/>
        </w:rPr>
        <w:t>定增回报及退出机制</w:t>
      </w:r>
    </w:p>
    <w:p>
      <w:pPr>
        <w:jc w:val="left"/>
        <w:rPr>
          <w:rFonts w:hint="eastAsia"/>
          <w:b w:val="0"/>
          <w:bCs w:val="0"/>
          <w:sz w:val="36"/>
          <w:szCs w:val="36"/>
          <w:lang w:val="en-US" w:eastAsia="zh-CN"/>
        </w:rPr>
      </w:pPr>
      <w:r>
        <w:rPr>
          <w:rFonts w:hint="eastAsia"/>
          <w:b w:val="0"/>
          <w:bCs w:val="0"/>
          <w:sz w:val="36"/>
          <w:szCs w:val="36"/>
          <w:lang w:val="en-US" w:eastAsia="zh-CN"/>
        </w:rPr>
        <w:t>我公司将发行500万股  定增价格为6元/股</w:t>
      </w:r>
    </w:p>
    <w:p>
      <w:pPr>
        <w:jc w:val="left"/>
        <w:rPr>
          <w:rFonts w:hint="eastAsia"/>
          <w:b w:val="0"/>
          <w:bCs w:val="0"/>
          <w:sz w:val="36"/>
          <w:szCs w:val="36"/>
          <w:lang w:val="en-US" w:eastAsia="zh-CN"/>
        </w:rPr>
      </w:pPr>
      <w:r>
        <w:rPr>
          <w:rFonts w:hint="eastAsia"/>
          <w:b w:val="0"/>
          <w:bCs w:val="0"/>
          <w:sz w:val="36"/>
          <w:szCs w:val="36"/>
          <w:lang w:val="en-US" w:eastAsia="zh-CN"/>
        </w:rPr>
        <w:t>投资起点为50股</w:t>
      </w:r>
    </w:p>
    <w:p>
      <w:pPr>
        <w:jc w:val="left"/>
        <w:rPr>
          <w:rFonts w:hint="eastAsia"/>
          <w:b w:val="0"/>
          <w:bCs w:val="0"/>
          <w:sz w:val="36"/>
          <w:szCs w:val="36"/>
          <w:lang w:val="en-US" w:eastAsia="zh-CN"/>
        </w:rPr>
      </w:pPr>
      <w:r>
        <w:rPr>
          <w:rFonts w:hint="eastAsia"/>
          <w:b w:val="0"/>
          <w:bCs w:val="0"/>
          <w:sz w:val="36"/>
          <w:szCs w:val="36"/>
          <w:lang w:val="en-US" w:eastAsia="zh-CN"/>
        </w:rPr>
        <w:t>资金主要用途与完善营销团队建设；加强市场推广力度；丰富终端产品系列开发；保障供应链接生产需求。</w:t>
      </w:r>
    </w:p>
    <w:p>
      <w:pPr>
        <w:jc w:val="left"/>
        <w:rPr>
          <w:rFonts w:hint="eastAsia"/>
          <w:b/>
          <w:bCs/>
          <w:sz w:val="36"/>
          <w:szCs w:val="36"/>
          <w:lang w:val="en-US" w:eastAsia="zh-CN"/>
        </w:rPr>
      </w:pPr>
      <w:r>
        <w:rPr>
          <w:rFonts w:hint="eastAsia"/>
          <w:b/>
          <w:bCs/>
          <w:sz w:val="36"/>
          <w:szCs w:val="36"/>
          <w:lang w:val="en-US" w:eastAsia="zh-CN"/>
        </w:rPr>
        <w:t>退出方式有以下几种</w:t>
      </w:r>
    </w:p>
    <w:p>
      <w:pPr>
        <w:jc w:val="left"/>
        <w:rPr>
          <w:rFonts w:hint="eastAsia"/>
          <w:b w:val="0"/>
          <w:bCs w:val="0"/>
          <w:sz w:val="36"/>
          <w:szCs w:val="36"/>
          <w:lang w:val="en-US" w:eastAsia="zh-CN"/>
        </w:rPr>
      </w:pPr>
      <w:r>
        <w:rPr>
          <w:rFonts w:hint="eastAsia"/>
          <w:b w:val="0"/>
          <w:bCs w:val="0"/>
          <w:sz w:val="32"/>
          <w:szCs w:val="32"/>
          <w:lang w:val="en-US" w:eastAsia="zh-CN"/>
        </w:rPr>
        <w:t xml:space="preserve">  </w:t>
      </w:r>
      <w:r>
        <w:rPr>
          <w:rFonts w:hint="eastAsia"/>
          <w:b w:val="0"/>
          <w:bCs w:val="0"/>
          <w:sz w:val="36"/>
          <w:szCs w:val="36"/>
          <w:lang w:val="en-US" w:eastAsia="zh-CN"/>
        </w:rPr>
        <w:t>公司凭借自身发展，待转为做市转让方式后逐渐退出。该方式为预期主要退出方式；</w:t>
      </w:r>
    </w:p>
    <w:p>
      <w:pPr>
        <w:jc w:val="left"/>
        <w:rPr>
          <w:rFonts w:hint="eastAsia"/>
          <w:b w:val="0"/>
          <w:bCs w:val="0"/>
          <w:sz w:val="36"/>
          <w:szCs w:val="36"/>
          <w:lang w:val="en-US" w:eastAsia="zh-CN"/>
        </w:rPr>
      </w:pPr>
      <w:r>
        <w:rPr>
          <w:rFonts w:hint="eastAsia"/>
          <w:b w:val="0"/>
          <w:bCs w:val="0"/>
          <w:sz w:val="36"/>
          <w:szCs w:val="36"/>
          <w:lang w:val="en-US" w:eastAsia="zh-CN"/>
        </w:rPr>
        <w:t>公司经营情况较好，寻找其他机构接盘，以股权转让方式退出；</w:t>
      </w:r>
    </w:p>
    <w:p>
      <w:pPr>
        <w:jc w:val="left"/>
        <w:rPr>
          <w:rFonts w:hint="eastAsia"/>
          <w:b w:val="0"/>
          <w:bCs w:val="0"/>
          <w:sz w:val="36"/>
          <w:szCs w:val="36"/>
          <w:lang w:val="en-US" w:eastAsia="zh-CN"/>
        </w:rPr>
      </w:pPr>
      <w:r>
        <w:rPr>
          <w:rFonts w:hint="eastAsia"/>
          <w:b w:val="0"/>
          <w:bCs w:val="0"/>
          <w:sz w:val="36"/>
          <w:szCs w:val="36"/>
          <w:lang w:val="en-US" w:eastAsia="zh-CN"/>
        </w:rPr>
        <w:t>被同行业上市公司并购退出；</w:t>
      </w:r>
    </w:p>
    <w:p>
      <w:pPr>
        <w:jc w:val="left"/>
        <w:rPr>
          <w:rFonts w:hint="eastAsia"/>
          <w:b w:val="0"/>
          <w:bCs w:val="0"/>
          <w:sz w:val="36"/>
          <w:szCs w:val="36"/>
          <w:lang w:val="en-US" w:eastAsia="zh-CN"/>
        </w:rPr>
      </w:pPr>
      <w:r>
        <w:rPr>
          <w:rFonts w:hint="eastAsia"/>
          <w:b w:val="0"/>
          <w:bCs w:val="0"/>
          <w:sz w:val="36"/>
          <w:szCs w:val="36"/>
          <w:lang w:val="en-US" w:eastAsia="zh-CN"/>
        </w:rPr>
        <w:t>公司IPO退出，由于可能时间较长，不作为主要退出方式。</w:t>
      </w:r>
    </w:p>
    <w:p>
      <w:pPr>
        <w:jc w:val="left"/>
        <w:rPr>
          <w:rFonts w:hint="eastAsia"/>
          <w:b w:val="0"/>
          <w:bCs w:val="0"/>
          <w:sz w:val="36"/>
          <w:szCs w:val="36"/>
          <w:lang w:val="en-US" w:eastAsia="zh-CN"/>
        </w:rPr>
      </w:pPr>
      <w:r>
        <w:rPr>
          <w:rFonts w:hint="eastAsia"/>
          <w:b w:val="0"/>
          <w:bCs w:val="0"/>
          <w:sz w:val="36"/>
          <w:szCs w:val="36"/>
          <w:lang w:val="en-US" w:eastAsia="zh-CN"/>
        </w:rPr>
        <w:t>若在2019年退出，按照2018年静态市盈率估值计算公司估值</w:t>
      </w:r>
    </w:p>
    <w:tbl>
      <w:tblPr>
        <w:tblStyle w:val="4"/>
        <w:tblpPr w:leftFromText="180" w:rightFromText="180" w:vertAnchor="text" w:horzAnchor="page" w:tblpX="441" w:tblpY="335"/>
        <w:tblOverlap w:val="never"/>
        <w:tblW w:w="11320" w:type="dxa"/>
        <w:tblCellSpacing w:w="0" w:type="dxa"/>
        <w:tblInd w:w="0" w:type="dxa"/>
        <w:shd w:val="clear" w:color="auto" w:fill="auto"/>
        <w:tblLayout w:type="fixed"/>
        <w:tblCellMar>
          <w:top w:w="0" w:type="dxa"/>
          <w:left w:w="0" w:type="dxa"/>
          <w:bottom w:w="0" w:type="dxa"/>
          <w:right w:w="0" w:type="dxa"/>
        </w:tblCellMar>
      </w:tblPr>
      <w:tblGrid>
        <w:gridCol w:w="2225"/>
        <w:gridCol w:w="2264"/>
        <w:gridCol w:w="2283"/>
        <w:gridCol w:w="2265"/>
        <w:gridCol w:w="2283"/>
      </w:tblGrid>
      <w:tr>
        <w:tblPrEx>
          <w:shd w:val="clear" w:color="auto" w:fill="auto"/>
          <w:tblLayout w:type="fixed"/>
          <w:tblCellMar>
            <w:top w:w="0" w:type="dxa"/>
            <w:left w:w="0" w:type="dxa"/>
            <w:bottom w:w="0" w:type="dxa"/>
            <w:right w:w="0" w:type="dxa"/>
          </w:tblCellMar>
        </w:tblPrEx>
        <w:trPr>
          <w:trHeight w:val="608" w:hRule="atLeast"/>
          <w:tblCellSpacing w:w="0" w:type="dxa"/>
        </w:trPr>
        <w:tc>
          <w:tcPr>
            <w:tcW w:w="2225" w:type="dxa"/>
            <w:tcBorders>
              <w:top w:val="single" w:color="9BBB59" w:sz="6" w:space="0"/>
              <w:left w:val="single" w:color="9BBB59" w:sz="6" w:space="0"/>
              <w:bottom w:val="single" w:color="9BBB59" w:sz="12" w:space="0"/>
              <w:right w:val="single" w:color="9BBB59" w:sz="6" w:space="0"/>
            </w:tcBorders>
            <w:shd w:val="clear" w:color="auto" w:fill="auto"/>
            <w:tcMar>
              <w:left w:w="108" w:type="dxa"/>
              <w:right w:w="108" w:type="dxa"/>
            </w:tcMar>
            <w:vAlign w:val="top"/>
          </w:tcPr>
          <w:p>
            <w:pPr>
              <w:pStyle w:val="2"/>
              <w:keepNext w:val="0"/>
              <w:keepLines w:val="0"/>
              <w:widowControl/>
              <w:suppressLineNumbers w:val="0"/>
            </w:pPr>
            <w:r>
              <w:rPr>
                <w:rFonts w:ascii="微软雅黑" w:hAnsi="微软雅黑" w:eastAsia="微软雅黑" w:cs="微软雅黑"/>
                <w:b/>
                <w:color w:val="595959"/>
                <w:sz w:val="32"/>
                <w:szCs w:val="32"/>
              </w:rPr>
              <w:t>估值倍数</w:t>
            </w:r>
          </w:p>
        </w:tc>
        <w:tc>
          <w:tcPr>
            <w:tcW w:w="2264" w:type="dxa"/>
            <w:tcBorders>
              <w:top w:val="single" w:color="9BBB59" w:sz="6" w:space="0"/>
              <w:left w:val="single" w:color="9BBB59" w:sz="6" w:space="0"/>
              <w:bottom w:val="single" w:color="9BBB59" w:sz="12" w:space="0"/>
              <w:right w:val="single" w:color="9BBB59" w:sz="6" w:space="0"/>
            </w:tcBorders>
            <w:shd w:val="clear" w:color="auto" w:fill="auto"/>
            <w:tcMar>
              <w:left w:w="108" w:type="dxa"/>
              <w:right w:w="108" w:type="dxa"/>
            </w:tcMar>
            <w:vAlign w:val="top"/>
          </w:tcPr>
          <w:p>
            <w:pPr>
              <w:pStyle w:val="2"/>
              <w:keepNext w:val="0"/>
              <w:keepLines w:val="0"/>
              <w:widowControl/>
              <w:suppressLineNumbers w:val="0"/>
            </w:pPr>
            <w:r>
              <w:rPr>
                <w:rFonts w:hint="eastAsia" w:ascii="微软雅黑" w:hAnsi="微软雅黑" w:eastAsia="微软雅黑" w:cs="微软雅黑"/>
                <w:b/>
                <w:color w:val="595959"/>
                <w:sz w:val="32"/>
                <w:szCs w:val="32"/>
              </w:rPr>
              <w:t>15倍</w:t>
            </w:r>
          </w:p>
        </w:tc>
        <w:tc>
          <w:tcPr>
            <w:tcW w:w="2283" w:type="dxa"/>
            <w:tcBorders>
              <w:top w:val="single" w:color="9BBB59" w:sz="6" w:space="0"/>
              <w:left w:val="single" w:color="9BBB59" w:sz="6" w:space="0"/>
              <w:bottom w:val="single" w:color="9BBB59" w:sz="12" w:space="0"/>
              <w:right w:val="single" w:color="9BBB59" w:sz="6" w:space="0"/>
            </w:tcBorders>
            <w:shd w:val="clear" w:color="auto" w:fill="auto"/>
            <w:tcMar>
              <w:left w:w="108" w:type="dxa"/>
              <w:right w:w="108" w:type="dxa"/>
            </w:tcMar>
            <w:vAlign w:val="top"/>
          </w:tcPr>
          <w:p>
            <w:pPr>
              <w:pStyle w:val="2"/>
              <w:keepNext w:val="0"/>
              <w:keepLines w:val="0"/>
              <w:widowControl/>
              <w:suppressLineNumbers w:val="0"/>
            </w:pPr>
            <w:r>
              <w:rPr>
                <w:rFonts w:hint="eastAsia" w:ascii="微软雅黑" w:hAnsi="微软雅黑" w:eastAsia="微软雅黑" w:cs="微软雅黑"/>
                <w:b/>
                <w:color w:val="595959"/>
                <w:sz w:val="32"/>
                <w:szCs w:val="32"/>
              </w:rPr>
              <w:t>20倍</w:t>
            </w:r>
          </w:p>
        </w:tc>
        <w:tc>
          <w:tcPr>
            <w:tcW w:w="2265" w:type="dxa"/>
            <w:tcBorders>
              <w:top w:val="single" w:color="9BBB59" w:sz="6" w:space="0"/>
              <w:left w:val="single" w:color="9BBB59" w:sz="6" w:space="0"/>
              <w:bottom w:val="single" w:color="9BBB59" w:sz="12" w:space="0"/>
              <w:right w:val="single" w:color="9BBB59" w:sz="6" w:space="0"/>
            </w:tcBorders>
            <w:shd w:val="clear" w:color="auto" w:fill="auto"/>
            <w:tcMar>
              <w:left w:w="108" w:type="dxa"/>
              <w:right w:w="108" w:type="dxa"/>
            </w:tcMar>
            <w:vAlign w:val="top"/>
          </w:tcPr>
          <w:p>
            <w:pPr>
              <w:pStyle w:val="2"/>
              <w:keepNext w:val="0"/>
              <w:keepLines w:val="0"/>
              <w:widowControl/>
              <w:suppressLineNumbers w:val="0"/>
            </w:pPr>
            <w:r>
              <w:rPr>
                <w:rFonts w:hint="eastAsia" w:ascii="微软雅黑" w:hAnsi="微软雅黑" w:eastAsia="微软雅黑" w:cs="微软雅黑"/>
                <w:b/>
                <w:color w:val="595959"/>
                <w:sz w:val="32"/>
                <w:szCs w:val="32"/>
              </w:rPr>
              <w:t>25倍</w:t>
            </w:r>
          </w:p>
        </w:tc>
        <w:tc>
          <w:tcPr>
            <w:tcW w:w="2283" w:type="dxa"/>
            <w:tcBorders>
              <w:top w:val="single" w:color="9BBB59" w:sz="6" w:space="0"/>
              <w:left w:val="single" w:color="9BBB59" w:sz="6" w:space="0"/>
              <w:bottom w:val="single" w:color="9BBB59" w:sz="12" w:space="0"/>
              <w:right w:val="single" w:color="9BBB59" w:sz="6" w:space="0"/>
            </w:tcBorders>
            <w:shd w:val="clear" w:color="auto" w:fill="auto"/>
            <w:tcMar>
              <w:left w:w="108" w:type="dxa"/>
              <w:right w:w="108" w:type="dxa"/>
            </w:tcMar>
            <w:vAlign w:val="top"/>
          </w:tcPr>
          <w:p>
            <w:pPr>
              <w:pStyle w:val="2"/>
              <w:keepNext w:val="0"/>
              <w:keepLines w:val="0"/>
              <w:widowControl/>
              <w:suppressLineNumbers w:val="0"/>
            </w:pPr>
            <w:r>
              <w:rPr>
                <w:rFonts w:hint="eastAsia" w:ascii="微软雅黑" w:hAnsi="微软雅黑" w:eastAsia="微软雅黑" w:cs="微软雅黑"/>
                <w:b/>
                <w:color w:val="595959"/>
                <w:sz w:val="32"/>
                <w:szCs w:val="32"/>
              </w:rPr>
              <w:t>30倍</w:t>
            </w:r>
          </w:p>
        </w:tc>
      </w:tr>
      <w:tr>
        <w:tblPrEx>
          <w:tblLayout w:type="fixed"/>
          <w:tblCellMar>
            <w:top w:w="0" w:type="dxa"/>
            <w:left w:w="0" w:type="dxa"/>
            <w:bottom w:w="0" w:type="dxa"/>
            <w:right w:w="0" w:type="dxa"/>
          </w:tblCellMar>
        </w:tblPrEx>
        <w:trPr>
          <w:trHeight w:val="608" w:hRule="atLeast"/>
          <w:tblCellSpacing w:w="0" w:type="dxa"/>
        </w:trPr>
        <w:tc>
          <w:tcPr>
            <w:tcW w:w="2225" w:type="dxa"/>
            <w:tcBorders>
              <w:top w:val="single" w:color="9BBB59" w:sz="6" w:space="0"/>
              <w:left w:val="single" w:color="9BBB59" w:sz="6" w:space="0"/>
              <w:bottom w:val="single" w:color="9BBB59" w:sz="12" w:space="0"/>
              <w:right w:val="single" w:color="9BBB59" w:sz="6" w:space="0"/>
            </w:tcBorders>
            <w:shd w:val="clear" w:color="auto" w:fill="9BBB59"/>
            <w:tcMar>
              <w:left w:w="108" w:type="dxa"/>
              <w:right w:w="108" w:type="dxa"/>
            </w:tcMar>
            <w:vAlign w:val="top"/>
          </w:tcPr>
          <w:p>
            <w:pPr>
              <w:pStyle w:val="2"/>
              <w:keepNext w:val="0"/>
              <w:keepLines w:val="0"/>
              <w:widowControl/>
              <w:suppressLineNumbers w:val="0"/>
            </w:pPr>
            <w:r>
              <w:rPr>
                <w:rFonts w:hint="eastAsia" w:ascii="微软雅黑" w:hAnsi="微软雅黑" w:eastAsia="微软雅黑" w:cs="微软雅黑"/>
                <w:color w:val="595959"/>
                <w:sz w:val="32"/>
                <w:szCs w:val="32"/>
              </w:rPr>
              <w:t>市值</w:t>
            </w:r>
          </w:p>
        </w:tc>
        <w:tc>
          <w:tcPr>
            <w:tcW w:w="2264" w:type="dxa"/>
            <w:tcBorders>
              <w:top w:val="single" w:color="9BBB59" w:sz="6" w:space="0"/>
              <w:left w:val="single" w:color="9BBB59" w:sz="6" w:space="0"/>
              <w:bottom w:val="single" w:color="9BBB59" w:sz="12" w:space="0"/>
              <w:right w:val="single" w:color="9BBB59" w:sz="6" w:space="0"/>
            </w:tcBorders>
            <w:shd w:val="clear" w:color="auto" w:fill="9BBB59"/>
            <w:tcMar>
              <w:left w:w="108" w:type="dxa"/>
              <w:right w:w="108" w:type="dxa"/>
            </w:tcMar>
            <w:vAlign w:val="top"/>
          </w:tcPr>
          <w:p>
            <w:pPr>
              <w:pStyle w:val="2"/>
              <w:keepNext w:val="0"/>
              <w:keepLines w:val="0"/>
              <w:widowControl/>
              <w:suppressLineNumbers w:val="0"/>
            </w:pPr>
            <w:r>
              <w:rPr>
                <w:rFonts w:hint="eastAsia" w:ascii="微软雅黑" w:hAnsi="微软雅黑" w:eastAsia="微软雅黑" w:cs="微软雅黑"/>
                <w:color w:val="595959"/>
                <w:sz w:val="32"/>
                <w:szCs w:val="32"/>
              </w:rPr>
              <w:t>58500万</w:t>
            </w:r>
          </w:p>
        </w:tc>
        <w:tc>
          <w:tcPr>
            <w:tcW w:w="2283" w:type="dxa"/>
            <w:tcBorders>
              <w:top w:val="single" w:color="9BBB59" w:sz="6" w:space="0"/>
              <w:left w:val="single" w:color="9BBB59" w:sz="6" w:space="0"/>
              <w:bottom w:val="single" w:color="9BBB59" w:sz="12" w:space="0"/>
              <w:right w:val="single" w:color="9BBB59" w:sz="6" w:space="0"/>
            </w:tcBorders>
            <w:shd w:val="clear" w:color="auto" w:fill="9BBB59"/>
            <w:tcMar>
              <w:left w:w="108" w:type="dxa"/>
              <w:right w:w="108" w:type="dxa"/>
            </w:tcMar>
            <w:vAlign w:val="top"/>
          </w:tcPr>
          <w:p>
            <w:pPr>
              <w:pStyle w:val="2"/>
              <w:keepNext w:val="0"/>
              <w:keepLines w:val="0"/>
              <w:widowControl/>
              <w:suppressLineNumbers w:val="0"/>
            </w:pPr>
            <w:r>
              <w:rPr>
                <w:rFonts w:hint="eastAsia" w:ascii="微软雅黑" w:hAnsi="微软雅黑" w:eastAsia="微软雅黑" w:cs="微软雅黑"/>
                <w:color w:val="595959"/>
                <w:sz w:val="32"/>
                <w:szCs w:val="32"/>
              </w:rPr>
              <w:t>78000万</w:t>
            </w:r>
          </w:p>
        </w:tc>
        <w:tc>
          <w:tcPr>
            <w:tcW w:w="2265" w:type="dxa"/>
            <w:tcBorders>
              <w:top w:val="single" w:color="9BBB59" w:sz="6" w:space="0"/>
              <w:left w:val="single" w:color="9BBB59" w:sz="6" w:space="0"/>
              <w:bottom w:val="single" w:color="9BBB59" w:sz="12" w:space="0"/>
              <w:right w:val="single" w:color="9BBB59" w:sz="6" w:space="0"/>
            </w:tcBorders>
            <w:shd w:val="clear" w:color="auto" w:fill="9BBB59"/>
            <w:tcMar>
              <w:left w:w="108" w:type="dxa"/>
              <w:right w:w="108" w:type="dxa"/>
            </w:tcMar>
            <w:vAlign w:val="top"/>
          </w:tcPr>
          <w:p>
            <w:pPr>
              <w:pStyle w:val="2"/>
              <w:keepNext w:val="0"/>
              <w:keepLines w:val="0"/>
              <w:widowControl/>
              <w:suppressLineNumbers w:val="0"/>
            </w:pPr>
            <w:r>
              <w:rPr>
                <w:rFonts w:hint="eastAsia" w:ascii="微软雅黑" w:hAnsi="微软雅黑" w:eastAsia="微软雅黑" w:cs="微软雅黑"/>
                <w:color w:val="595959"/>
                <w:sz w:val="32"/>
                <w:szCs w:val="32"/>
              </w:rPr>
              <w:t>97500万</w:t>
            </w:r>
          </w:p>
        </w:tc>
        <w:tc>
          <w:tcPr>
            <w:tcW w:w="2283" w:type="dxa"/>
            <w:tcBorders>
              <w:top w:val="single" w:color="9BBB59" w:sz="6" w:space="0"/>
              <w:left w:val="single" w:color="9BBB59" w:sz="6" w:space="0"/>
              <w:bottom w:val="single" w:color="9BBB59" w:sz="12" w:space="0"/>
              <w:right w:val="single" w:color="9BBB59" w:sz="6" w:space="0"/>
            </w:tcBorders>
            <w:shd w:val="clear" w:color="auto" w:fill="9BBB59"/>
            <w:tcMar>
              <w:left w:w="108" w:type="dxa"/>
              <w:right w:w="108" w:type="dxa"/>
            </w:tcMar>
            <w:vAlign w:val="top"/>
          </w:tcPr>
          <w:p>
            <w:pPr>
              <w:pStyle w:val="2"/>
              <w:keepNext w:val="0"/>
              <w:keepLines w:val="0"/>
              <w:widowControl/>
              <w:suppressLineNumbers w:val="0"/>
            </w:pPr>
            <w:r>
              <w:rPr>
                <w:rFonts w:hint="eastAsia" w:ascii="微软雅黑" w:hAnsi="微软雅黑" w:eastAsia="微软雅黑" w:cs="微软雅黑"/>
                <w:color w:val="595959"/>
                <w:sz w:val="32"/>
                <w:szCs w:val="32"/>
              </w:rPr>
              <w:t>117000万</w:t>
            </w:r>
          </w:p>
        </w:tc>
      </w:tr>
      <w:tr>
        <w:tblPrEx>
          <w:tblLayout w:type="fixed"/>
          <w:tblCellMar>
            <w:top w:w="0" w:type="dxa"/>
            <w:left w:w="0" w:type="dxa"/>
            <w:bottom w:w="0" w:type="dxa"/>
            <w:right w:w="0" w:type="dxa"/>
          </w:tblCellMar>
        </w:tblPrEx>
        <w:trPr>
          <w:trHeight w:val="608" w:hRule="atLeast"/>
          <w:tblCellSpacing w:w="0" w:type="dxa"/>
        </w:trPr>
        <w:tc>
          <w:tcPr>
            <w:tcW w:w="2225" w:type="dxa"/>
            <w:tcBorders>
              <w:top w:val="single" w:color="9BBB59" w:sz="6" w:space="0"/>
              <w:left w:val="single" w:color="9BBB59" w:sz="6" w:space="0"/>
              <w:bottom w:val="single" w:color="9BBB59" w:sz="12" w:space="0"/>
              <w:right w:val="single" w:color="9BBB59" w:sz="6" w:space="0"/>
            </w:tcBorders>
            <w:shd w:val="clear" w:color="auto" w:fill="auto"/>
            <w:tcMar>
              <w:left w:w="108" w:type="dxa"/>
              <w:right w:w="108" w:type="dxa"/>
            </w:tcMar>
            <w:vAlign w:val="top"/>
          </w:tcPr>
          <w:p>
            <w:pPr>
              <w:pStyle w:val="2"/>
              <w:keepNext w:val="0"/>
              <w:keepLines w:val="0"/>
              <w:widowControl/>
              <w:suppressLineNumbers w:val="0"/>
            </w:pPr>
            <w:r>
              <w:rPr>
                <w:rFonts w:hint="eastAsia" w:ascii="微软雅黑" w:hAnsi="微软雅黑" w:eastAsia="微软雅黑" w:cs="微软雅黑"/>
                <w:color w:val="595959"/>
                <w:sz w:val="32"/>
                <w:szCs w:val="32"/>
              </w:rPr>
              <w:t>增长率</w:t>
            </w:r>
          </w:p>
        </w:tc>
        <w:tc>
          <w:tcPr>
            <w:tcW w:w="2264" w:type="dxa"/>
            <w:tcBorders>
              <w:top w:val="single" w:color="9BBB59" w:sz="6" w:space="0"/>
              <w:left w:val="single" w:color="9BBB59" w:sz="6" w:space="0"/>
              <w:bottom w:val="single" w:color="9BBB59" w:sz="12" w:space="0"/>
              <w:right w:val="single" w:color="9BBB59" w:sz="6" w:space="0"/>
            </w:tcBorders>
            <w:shd w:val="clear" w:color="auto" w:fill="auto"/>
            <w:tcMar>
              <w:left w:w="108" w:type="dxa"/>
              <w:right w:w="108" w:type="dxa"/>
            </w:tcMar>
            <w:vAlign w:val="center"/>
          </w:tcPr>
          <w:p>
            <w:pPr>
              <w:pStyle w:val="2"/>
              <w:keepNext w:val="0"/>
              <w:keepLines w:val="0"/>
              <w:widowControl/>
              <w:suppressLineNumbers w:val="0"/>
            </w:pPr>
            <w:r>
              <w:rPr>
                <w:rFonts w:hint="eastAsia" w:ascii="微软雅黑" w:hAnsi="微软雅黑" w:eastAsia="微软雅黑" w:cs="微软雅黑"/>
                <w:color w:val="595959"/>
                <w:sz w:val="32"/>
                <w:szCs w:val="32"/>
              </w:rPr>
              <w:t>95%</w:t>
            </w:r>
          </w:p>
        </w:tc>
        <w:tc>
          <w:tcPr>
            <w:tcW w:w="2283" w:type="dxa"/>
            <w:tcBorders>
              <w:top w:val="single" w:color="9BBB59" w:sz="6" w:space="0"/>
              <w:left w:val="single" w:color="9BBB59" w:sz="6" w:space="0"/>
              <w:bottom w:val="single" w:color="9BBB59" w:sz="12" w:space="0"/>
              <w:right w:val="single" w:color="9BBB59" w:sz="6" w:space="0"/>
            </w:tcBorders>
            <w:shd w:val="clear" w:color="auto" w:fill="auto"/>
            <w:tcMar>
              <w:left w:w="108" w:type="dxa"/>
              <w:right w:w="108" w:type="dxa"/>
            </w:tcMar>
            <w:vAlign w:val="center"/>
          </w:tcPr>
          <w:p>
            <w:pPr>
              <w:pStyle w:val="2"/>
              <w:keepNext w:val="0"/>
              <w:keepLines w:val="0"/>
              <w:widowControl/>
              <w:suppressLineNumbers w:val="0"/>
            </w:pPr>
            <w:r>
              <w:rPr>
                <w:rFonts w:hint="eastAsia" w:ascii="微软雅黑" w:hAnsi="微软雅黑" w:eastAsia="微软雅黑" w:cs="微软雅黑"/>
                <w:color w:val="595959"/>
                <w:sz w:val="32"/>
                <w:szCs w:val="32"/>
              </w:rPr>
              <w:t>160%</w:t>
            </w:r>
          </w:p>
        </w:tc>
        <w:tc>
          <w:tcPr>
            <w:tcW w:w="2265" w:type="dxa"/>
            <w:tcBorders>
              <w:top w:val="single" w:color="9BBB59" w:sz="6" w:space="0"/>
              <w:left w:val="single" w:color="9BBB59" w:sz="6" w:space="0"/>
              <w:bottom w:val="single" w:color="9BBB59" w:sz="12" w:space="0"/>
              <w:right w:val="single" w:color="9BBB59" w:sz="6" w:space="0"/>
            </w:tcBorders>
            <w:shd w:val="clear" w:color="auto" w:fill="auto"/>
            <w:tcMar>
              <w:left w:w="108" w:type="dxa"/>
              <w:right w:w="108" w:type="dxa"/>
            </w:tcMar>
            <w:vAlign w:val="center"/>
          </w:tcPr>
          <w:p>
            <w:pPr>
              <w:pStyle w:val="2"/>
              <w:keepNext w:val="0"/>
              <w:keepLines w:val="0"/>
              <w:widowControl/>
              <w:suppressLineNumbers w:val="0"/>
            </w:pPr>
            <w:r>
              <w:rPr>
                <w:rFonts w:hint="eastAsia" w:ascii="微软雅黑" w:hAnsi="微软雅黑" w:eastAsia="微软雅黑" w:cs="微软雅黑"/>
                <w:color w:val="595959"/>
                <w:sz w:val="32"/>
                <w:szCs w:val="32"/>
              </w:rPr>
              <w:t>225%</w:t>
            </w:r>
          </w:p>
        </w:tc>
        <w:tc>
          <w:tcPr>
            <w:tcW w:w="2283" w:type="dxa"/>
            <w:tcBorders>
              <w:top w:val="single" w:color="9BBB59" w:sz="6" w:space="0"/>
              <w:left w:val="single" w:color="9BBB59" w:sz="6" w:space="0"/>
              <w:bottom w:val="single" w:color="9BBB59" w:sz="12" w:space="0"/>
              <w:right w:val="single" w:color="9BBB59" w:sz="6" w:space="0"/>
            </w:tcBorders>
            <w:shd w:val="clear" w:color="auto" w:fill="auto"/>
            <w:tcMar>
              <w:left w:w="108" w:type="dxa"/>
              <w:right w:w="108" w:type="dxa"/>
            </w:tcMar>
            <w:vAlign w:val="center"/>
          </w:tcPr>
          <w:p>
            <w:pPr>
              <w:pStyle w:val="2"/>
              <w:keepNext w:val="0"/>
              <w:keepLines w:val="0"/>
              <w:widowControl/>
              <w:suppressLineNumbers w:val="0"/>
            </w:pPr>
            <w:r>
              <w:rPr>
                <w:rFonts w:hint="eastAsia" w:ascii="微软雅黑" w:hAnsi="微软雅黑" w:eastAsia="微软雅黑" w:cs="微软雅黑"/>
                <w:color w:val="595959"/>
                <w:sz w:val="32"/>
                <w:szCs w:val="32"/>
              </w:rPr>
              <w:t>290%</w:t>
            </w:r>
          </w:p>
        </w:tc>
      </w:tr>
      <w:tr>
        <w:tblPrEx>
          <w:tblLayout w:type="fixed"/>
          <w:tblCellMar>
            <w:top w:w="0" w:type="dxa"/>
            <w:left w:w="0" w:type="dxa"/>
            <w:bottom w:w="0" w:type="dxa"/>
            <w:right w:w="0" w:type="dxa"/>
          </w:tblCellMar>
        </w:tblPrEx>
        <w:trPr>
          <w:trHeight w:val="608" w:hRule="atLeast"/>
          <w:tblCellSpacing w:w="0" w:type="dxa"/>
        </w:trPr>
        <w:tc>
          <w:tcPr>
            <w:tcW w:w="2225" w:type="dxa"/>
            <w:tcBorders>
              <w:top w:val="single" w:color="9BBB59" w:sz="6" w:space="0"/>
              <w:left w:val="single" w:color="9BBB59" w:sz="6" w:space="0"/>
              <w:bottom w:val="single" w:color="9BBB59" w:sz="12" w:space="0"/>
              <w:right w:val="single" w:color="9BBB59" w:sz="6" w:space="0"/>
            </w:tcBorders>
            <w:shd w:val="clear" w:color="auto" w:fill="9BBB59"/>
            <w:tcMar>
              <w:left w:w="108" w:type="dxa"/>
              <w:right w:w="108" w:type="dxa"/>
            </w:tcMar>
            <w:vAlign w:val="top"/>
          </w:tcPr>
          <w:p>
            <w:pPr>
              <w:pStyle w:val="2"/>
              <w:keepNext w:val="0"/>
              <w:keepLines w:val="0"/>
              <w:widowControl/>
              <w:suppressLineNumbers w:val="0"/>
            </w:pPr>
            <w:r>
              <w:rPr>
                <w:rFonts w:hint="eastAsia" w:ascii="微软雅黑" w:hAnsi="微软雅黑" w:eastAsia="微软雅黑" w:cs="微软雅黑"/>
                <w:color w:val="595959"/>
                <w:sz w:val="32"/>
                <w:szCs w:val="32"/>
              </w:rPr>
              <w:t>复合收益率</w:t>
            </w:r>
          </w:p>
        </w:tc>
        <w:tc>
          <w:tcPr>
            <w:tcW w:w="2264" w:type="dxa"/>
            <w:tcBorders>
              <w:top w:val="single" w:color="9BBB59" w:sz="6" w:space="0"/>
              <w:left w:val="single" w:color="9BBB59" w:sz="6" w:space="0"/>
              <w:bottom w:val="single" w:color="9BBB59" w:sz="12" w:space="0"/>
              <w:right w:val="single" w:color="9BBB59" w:sz="6" w:space="0"/>
            </w:tcBorders>
            <w:shd w:val="clear" w:color="auto" w:fill="9BBB59"/>
            <w:tcMar>
              <w:left w:w="108" w:type="dxa"/>
              <w:right w:w="108" w:type="dxa"/>
            </w:tcMar>
            <w:vAlign w:val="center"/>
          </w:tcPr>
          <w:p>
            <w:pPr>
              <w:pStyle w:val="2"/>
              <w:keepNext w:val="0"/>
              <w:keepLines w:val="0"/>
              <w:widowControl/>
              <w:suppressLineNumbers w:val="0"/>
            </w:pPr>
            <w:r>
              <w:rPr>
                <w:rFonts w:hint="eastAsia" w:ascii="微软雅黑" w:hAnsi="微软雅黑" w:eastAsia="微软雅黑" w:cs="微软雅黑"/>
                <w:color w:val="595959"/>
                <w:sz w:val="32"/>
                <w:szCs w:val="32"/>
              </w:rPr>
              <w:t>25%</w:t>
            </w:r>
          </w:p>
        </w:tc>
        <w:tc>
          <w:tcPr>
            <w:tcW w:w="2283" w:type="dxa"/>
            <w:tcBorders>
              <w:top w:val="single" w:color="9BBB59" w:sz="6" w:space="0"/>
              <w:left w:val="single" w:color="9BBB59" w:sz="6" w:space="0"/>
              <w:bottom w:val="single" w:color="9BBB59" w:sz="12" w:space="0"/>
              <w:right w:val="single" w:color="9BBB59" w:sz="6" w:space="0"/>
            </w:tcBorders>
            <w:shd w:val="clear" w:color="auto" w:fill="9BBB59"/>
            <w:tcMar>
              <w:left w:w="108" w:type="dxa"/>
              <w:right w:w="108" w:type="dxa"/>
            </w:tcMar>
            <w:vAlign w:val="center"/>
          </w:tcPr>
          <w:p>
            <w:pPr>
              <w:pStyle w:val="2"/>
              <w:keepNext w:val="0"/>
              <w:keepLines w:val="0"/>
              <w:widowControl/>
              <w:suppressLineNumbers w:val="0"/>
            </w:pPr>
            <w:r>
              <w:rPr>
                <w:rFonts w:hint="eastAsia" w:ascii="微软雅黑" w:hAnsi="微软雅黑" w:eastAsia="微软雅黑" w:cs="微软雅黑"/>
                <w:color w:val="595959"/>
                <w:sz w:val="32"/>
                <w:szCs w:val="32"/>
              </w:rPr>
              <w:t>37.5%</w:t>
            </w:r>
          </w:p>
        </w:tc>
        <w:tc>
          <w:tcPr>
            <w:tcW w:w="2265" w:type="dxa"/>
            <w:tcBorders>
              <w:top w:val="single" w:color="9BBB59" w:sz="6" w:space="0"/>
              <w:left w:val="single" w:color="9BBB59" w:sz="6" w:space="0"/>
              <w:bottom w:val="single" w:color="9BBB59" w:sz="12" w:space="0"/>
              <w:right w:val="single" w:color="9BBB59" w:sz="6" w:space="0"/>
            </w:tcBorders>
            <w:shd w:val="clear" w:color="auto" w:fill="9BBB59"/>
            <w:tcMar>
              <w:left w:w="108" w:type="dxa"/>
              <w:right w:w="108" w:type="dxa"/>
            </w:tcMar>
            <w:vAlign w:val="center"/>
          </w:tcPr>
          <w:p>
            <w:pPr>
              <w:pStyle w:val="2"/>
              <w:keepNext w:val="0"/>
              <w:keepLines w:val="0"/>
              <w:widowControl/>
              <w:suppressLineNumbers w:val="0"/>
            </w:pPr>
            <w:r>
              <w:rPr>
                <w:rFonts w:hint="eastAsia" w:ascii="微软雅黑" w:hAnsi="微软雅黑" w:eastAsia="微软雅黑" w:cs="微软雅黑"/>
                <w:color w:val="595959"/>
                <w:sz w:val="32"/>
                <w:szCs w:val="32"/>
              </w:rPr>
              <w:t>48%</w:t>
            </w:r>
          </w:p>
        </w:tc>
        <w:tc>
          <w:tcPr>
            <w:tcW w:w="2283" w:type="dxa"/>
            <w:tcBorders>
              <w:top w:val="single" w:color="9BBB59" w:sz="6" w:space="0"/>
              <w:left w:val="single" w:color="9BBB59" w:sz="6" w:space="0"/>
              <w:bottom w:val="single" w:color="9BBB59" w:sz="12" w:space="0"/>
              <w:right w:val="single" w:color="9BBB59" w:sz="6" w:space="0"/>
            </w:tcBorders>
            <w:shd w:val="clear" w:color="auto" w:fill="9BBB59"/>
            <w:tcMar>
              <w:left w:w="108" w:type="dxa"/>
              <w:right w:w="108" w:type="dxa"/>
            </w:tcMar>
            <w:vAlign w:val="center"/>
          </w:tcPr>
          <w:p>
            <w:pPr>
              <w:pStyle w:val="2"/>
              <w:keepNext w:val="0"/>
              <w:keepLines w:val="0"/>
              <w:widowControl/>
              <w:suppressLineNumbers w:val="0"/>
            </w:pPr>
            <w:r>
              <w:rPr>
                <w:rFonts w:hint="eastAsia" w:ascii="微软雅黑" w:hAnsi="微软雅黑" w:eastAsia="微软雅黑" w:cs="微软雅黑"/>
                <w:color w:val="595959"/>
                <w:sz w:val="32"/>
                <w:szCs w:val="32"/>
              </w:rPr>
              <w:t>57.4%</w:t>
            </w:r>
          </w:p>
        </w:tc>
      </w:tr>
    </w:tbl>
    <w:p>
      <w:pPr>
        <w:jc w:val="left"/>
        <w:rPr>
          <w:rFonts w:hint="eastAsia"/>
          <w:b w:val="0"/>
          <w:bCs w:val="0"/>
          <w:sz w:val="36"/>
          <w:szCs w:val="36"/>
          <w:lang w:val="en-US" w:eastAsia="zh-CN"/>
        </w:rPr>
      </w:pPr>
    </w:p>
    <w:p>
      <w:pPr>
        <w:jc w:val="left"/>
        <w:rPr>
          <w:rFonts w:hint="eastAsia"/>
          <w:b/>
          <w:bCs/>
          <w:sz w:val="36"/>
          <w:szCs w:val="36"/>
          <w:lang w:val="en-US" w:eastAsia="zh-CN"/>
        </w:rPr>
      </w:pPr>
    </w:p>
    <w:p>
      <w:pPr>
        <w:jc w:val="left"/>
        <w:rPr>
          <w:rFonts w:hint="eastAsia"/>
          <w:b/>
          <w:bCs/>
          <w:sz w:val="36"/>
          <w:szCs w:val="36"/>
          <w:lang w:val="en-US" w:eastAsia="zh-CN"/>
        </w:rPr>
      </w:pPr>
    </w:p>
    <w:p>
      <w:pPr>
        <w:jc w:val="left"/>
        <w:rPr>
          <w:rFonts w:hint="eastAsia"/>
          <w:b/>
          <w:bCs/>
          <w:sz w:val="36"/>
          <w:szCs w:val="36"/>
          <w:lang w:val="en-US" w:eastAsia="zh-CN"/>
        </w:rPr>
      </w:pPr>
    </w:p>
    <w:p>
      <w:pPr>
        <w:jc w:val="left"/>
        <w:rPr>
          <w:rFonts w:hint="eastAsia"/>
          <w:b/>
          <w:bCs/>
          <w:sz w:val="36"/>
          <w:szCs w:val="36"/>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12BDE"/>
    <w:rsid w:val="07B37B30"/>
    <w:rsid w:val="1E5543AC"/>
    <w:rsid w:val="1FC20337"/>
    <w:rsid w:val="27C049D7"/>
    <w:rsid w:val="2DEA124C"/>
    <w:rsid w:val="33BB7388"/>
    <w:rsid w:val="40392B14"/>
    <w:rsid w:val="488030B6"/>
    <w:rsid w:val="52012BDE"/>
    <w:rsid w:val="54E045A2"/>
    <w:rsid w:val="5B857D4F"/>
    <w:rsid w:val="5E8D5D73"/>
    <w:rsid w:val="5F351D08"/>
    <w:rsid w:val="64CC633A"/>
    <w:rsid w:val="6F705D8F"/>
    <w:rsid w:val="773E7DCF"/>
    <w:rsid w:val="7BC9500E"/>
    <w:rsid w:val="7FBD71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2016-07-20T03:31:00Z</dcterms:created>
  <dc:creator>zy</dc:creator>
  <cp:lastModifiedBy>zy</cp:lastModifiedBy>
  <dcterms:modified xsi:type="dcterms:W3CDTF">2016-07-20T06:50:42Z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