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color w:val="auto"/>
          <w:kern w:val="44"/>
          <w:sz w:val="24"/>
          <w:szCs w:val="24"/>
          <w:highlight w:val="none"/>
          <w:lang w:eastAsia="zh-CN"/>
        </w:rPr>
      </w:pPr>
      <w:r>
        <w:rPr>
          <w:rFonts w:hint="eastAsia" w:ascii="黑体" w:hAnsi="黑体" w:eastAsia="黑体" w:cs="黑体"/>
          <w:b/>
          <w:bCs/>
          <w:color w:val="auto"/>
          <w:sz w:val="44"/>
          <w:szCs w:val="48"/>
          <w:lang w:val="en-US" w:eastAsia="zh-CN"/>
        </w:rPr>
        <w:t>道一智能科技</w:t>
      </w:r>
    </w:p>
    <w:p>
      <w:pPr>
        <w:spacing w:beforeLines="50" w:afterLines="50" w:line="240" w:lineRule="auto"/>
        <w:ind w:left="0" w:leftChars="0"/>
        <w:jc w:val="center"/>
        <w:rPr>
          <w:rFonts w:hint="eastAsia" w:ascii="微软雅黑" w:hAnsi="微软雅黑" w:eastAsia="微软雅黑" w:cs="微软雅黑"/>
          <w:b/>
          <w:bCs/>
          <w:color w:val="auto"/>
          <w:kern w:val="44"/>
          <w:sz w:val="40"/>
          <w:szCs w:val="40"/>
          <w:highlight w:val="none"/>
          <w:lang w:val="en-US" w:eastAsia="zh-CN"/>
        </w:rPr>
      </w:pPr>
      <w:r>
        <w:rPr>
          <w:rFonts w:hint="eastAsia" w:ascii="微软雅黑" w:hAnsi="微软雅黑" w:eastAsia="微软雅黑" w:cs="微软雅黑"/>
          <w:b/>
          <w:bCs/>
          <w:color w:val="auto"/>
          <w:kern w:val="44"/>
          <w:sz w:val="40"/>
          <w:szCs w:val="40"/>
          <w:highlight w:val="none"/>
          <w:lang w:val="en-US" w:eastAsia="zh-CN"/>
        </w:rPr>
        <w:t>公司概括</w:t>
      </w:r>
    </w:p>
    <w:p>
      <w:pPr>
        <w:pStyle w:val="2"/>
        <w:spacing w:before="0" w:after="0" w:line="240" w:lineRule="auto"/>
        <w:ind w:left="0" w:leftChars="0"/>
        <w:rPr>
          <w:rFonts w:hint="eastAsia" w:ascii="微软雅黑" w:hAnsi="微软雅黑" w:eastAsia="微软雅黑" w:cs="微软雅黑"/>
          <w:sz w:val="24"/>
          <w:szCs w:val="24"/>
        </w:rPr>
      </w:pPr>
      <w:bookmarkStart w:id="0" w:name="_Toc449649694"/>
      <w:r>
        <w:rPr>
          <w:rFonts w:hint="eastAsia" w:ascii="微软雅黑" w:hAnsi="微软雅黑" w:eastAsia="微软雅黑" w:cs="微软雅黑"/>
          <w:b/>
          <w:bCs/>
          <w:color w:val="auto"/>
          <w:sz w:val="24"/>
          <w:szCs w:val="24"/>
        </w:rPr>
        <w:t>公司名称：</w:t>
      </w:r>
      <w:r>
        <w:rPr>
          <w:rFonts w:hint="eastAsia" w:ascii="宋体" w:hAnsi="宋体" w:eastAsia="宋体" w:cs="宋体"/>
          <w:b w:val="0"/>
          <w:bCs w:val="0"/>
          <w:sz w:val="24"/>
          <w:szCs w:val="24"/>
        </w:rPr>
        <w:t>陕西道一智能科技有限公司</w:t>
      </w:r>
    </w:p>
    <w:p>
      <w:pPr>
        <w:spacing w:line="240" w:lineRule="auto"/>
        <w:ind w:left="0" w:leftChars="0"/>
        <w:rPr>
          <w:rFonts w:hint="eastAsia" w:ascii="微软雅黑" w:hAnsi="微软雅黑" w:eastAsia="微软雅黑" w:cs="微软雅黑"/>
          <w:sz w:val="24"/>
          <w:szCs w:val="24"/>
        </w:rPr>
      </w:pPr>
      <w:r>
        <w:rPr>
          <w:rFonts w:hint="eastAsia" w:ascii="微软雅黑" w:hAnsi="微软雅黑" w:eastAsia="微软雅黑" w:cs="微软雅黑"/>
          <w:b/>
          <w:bCs/>
          <w:color w:val="auto"/>
          <w:sz w:val="24"/>
          <w:szCs w:val="24"/>
        </w:rPr>
        <w:t>成立时间：</w:t>
      </w:r>
      <w:r>
        <w:rPr>
          <w:rFonts w:hint="eastAsia" w:ascii="宋体" w:hAnsi="宋体" w:eastAsia="宋体" w:cs="宋体"/>
          <w:sz w:val="24"/>
          <w:szCs w:val="24"/>
        </w:rPr>
        <w:t>2014年11月7日</w:t>
      </w:r>
    </w:p>
    <w:p>
      <w:pPr>
        <w:spacing w:line="240" w:lineRule="auto"/>
        <w:ind w:left="0" w:leftChars="0"/>
        <w:rPr>
          <w:rFonts w:hint="eastAsia" w:ascii="微软雅黑" w:hAnsi="微软雅黑" w:eastAsia="微软雅黑" w:cs="微软雅黑"/>
          <w:sz w:val="24"/>
          <w:szCs w:val="24"/>
        </w:rPr>
      </w:pPr>
      <w:r>
        <w:rPr>
          <w:rFonts w:hint="eastAsia" w:ascii="微软雅黑" w:hAnsi="微软雅黑" w:eastAsia="微软雅黑" w:cs="微软雅黑"/>
          <w:b/>
          <w:bCs/>
          <w:color w:val="auto"/>
          <w:sz w:val="24"/>
          <w:szCs w:val="24"/>
        </w:rPr>
        <w:t>注册资本：</w:t>
      </w:r>
      <w:r>
        <w:rPr>
          <w:rFonts w:hint="eastAsia" w:ascii="宋体" w:hAnsi="宋体" w:eastAsia="宋体" w:cs="宋体"/>
          <w:sz w:val="24"/>
          <w:szCs w:val="24"/>
        </w:rPr>
        <w:t>贰千万人民币</w:t>
      </w:r>
    </w:p>
    <w:p>
      <w:pPr>
        <w:spacing w:line="240" w:lineRule="auto"/>
        <w:ind w:left="0" w:leftChars="0"/>
        <w:rPr>
          <w:rFonts w:hint="eastAsia" w:ascii="微软雅黑" w:hAnsi="微软雅黑" w:eastAsia="微软雅黑" w:cs="微软雅黑"/>
          <w:sz w:val="24"/>
          <w:szCs w:val="24"/>
        </w:rPr>
      </w:pPr>
      <w:r>
        <w:rPr>
          <w:rFonts w:hint="eastAsia" w:ascii="微软雅黑" w:hAnsi="微软雅黑" w:eastAsia="微软雅黑" w:cs="微软雅黑"/>
          <w:b/>
          <w:bCs/>
          <w:color w:val="auto"/>
          <w:sz w:val="24"/>
          <w:szCs w:val="24"/>
        </w:rPr>
        <w:t>注册地址：</w:t>
      </w:r>
      <w:r>
        <w:rPr>
          <w:rFonts w:hint="eastAsia" w:ascii="宋体" w:hAnsi="宋体" w:eastAsia="宋体" w:cs="宋体"/>
          <w:sz w:val="24"/>
          <w:szCs w:val="24"/>
        </w:rPr>
        <w:t>渭南市卤阳湖开发区高速引道出口西500米</w:t>
      </w:r>
    </w:p>
    <w:p>
      <w:pPr>
        <w:spacing w:line="240" w:lineRule="auto"/>
        <w:ind w:left="0" w:leftChars="0"/>
        <w:rPr>
          <w:rFonts w:hint="eastAsia" w:ascii="微软雅黑" w:hAnsi="微软雅黑" w:eastAsia="微软雅黑" w:cs="微软雅黑"/>
          <w:sz w:val="24"/>
          <w:szCs w:val="24"/>
        </w:rPr>
      </w:pPr>
      <w:r>
        <w:rPr>
          <w:rFonts w:hint="eastAsia" w:ascii="微软雅黑" w:hAnsi="微软雅黑" w:eastAsia="微软雅黑" w:cs="微软雅黑"/>
          <w:b/>
          <w:bCs/>
          <w:color w:val="auto"/>
          <w:sz w:val="24"/>
          <w:szCs w:val="24"/>
        </w:rPr>
        <w:t>经营范围：</w:t>
      </w:r>
      <w:r>
        <w:rPr>
          <w:rFonts w:hint="eastAsia" w:ascii="宋体" w:hAnsi="宋体" w:eastAsia="宋体" w:cs="宋体"/>
          <w:sz w:val="24"/>
          <w:szCs w:val="24"/>
        </w:rPr>
        <w:t>矿山、隧道智能装备的研发、设计、钢结构件的生产及技术服务；机电一体化系统集成；自动化控制系统集成；货物与技术进出口经营；机电设备、自动化控制设备、机械设备的销售。</w:t>
      </w:r>
      <w:bookmarkEnd w:id="0"/>
      <w:bookmarkStart w:id="1" w:name="_Toc449649695"/>
    </w:p>
    <w:p>
      <w:pPr>
        <w:pStyle w:val="2"/>
        <w:spacing w:before="0" w:after="0" w:line="240" w:lineRule="auto"/>
        <w:ind w:left="0" w:left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股权结构及控股股东介绍</w:t>
      </w:r>
      <w:bookmarkEnd w:id="1"/>
    </w:p>
    <w:p>
      <w:pPr>
        <w:spacing w:line="240" w:lineRule="auto"/>
        <w:ind w:left="0" w:leftChars="0" w:firstLine="562" w:firstLineChars="200"/>
        <w:rPr>
          <w:rFonts w:hint="eastAsia" w:ascii="微软雅黑" w:hAnsi="微软雅黑" w:eastAsia="微软雅黑" w:cs="微软雅黑"/>
          <w:b w:val="0"/>
          <w:bCs/>
          <w:sz w:val="28"/>
          <w:szCs w:val="28"/>
        </w:rPr>
      </w:pPr>
      <w:r>
        <w:rPr>
          <w:rFonts w:hint="eastAsia" w:ascii="微软雅黑" w:hAnsi="微软雅黑" w:eastAsia="微软雅黑" w:cs="微软雅黑"/>
          <w:b w:val="0"/>
          <w:bCs/>
          <w:sz w:val="28"/>
          <w:szCs w:val="28"/>
        </w:rPr>
        <w:t>公司股权结构</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公司当前拥有2名股东，其中，孙天池先生出资1020万元，占公司51%股权；陕西金筑投资管理公司出资980万元，占公司49%股权。</w:t>
      </w:r>
    </w:p>
    <w:p>
      <w:pPr>
        <w:spacing w:line="240" w:lineRule="auto"/>
        <w:ind w:left="0" w:leftChars="0" w:firstLine="562" w:firstLineChars="200"/>
        <w:rPr>
          <w:rFonts w:hint="eastAsia" w:ascii="宋体" w:hAnsi="宋体" w:eastAsia="宋体" w:cs="宋体"/>
          <w:b w:val="0"/>
          <w:bCs/>
          <w:sz w:val="28"/>
          <w:szCs w:val="28"/>
        </w:rPr>
      </w:pPr>
      <w:r>
        <w:rPr>
          <w:rFonts w:hint="eastAsia" w:ascii="宋体" w:hAnsi="宋体" w:eastAsia="宋体" w:cs="宋体"/>
          <w:b w:val="0"/>
          <w:bCs/>
          <w:sz w:val="28"/>
          <w:szCs w:val="28"/>
        </w:rPr>
        <w:t>公司控股股东介绍</w:t>
      </w:r>
    </w:p>
    <w:p>
      <w:pPr>
        <w:spacing w:line="240" w:lineRule="auto"/>
        <w:ind w:left="0" w:leftChars="0" w:firstLine="560"/>
        <w:rPr>
          <w:rFonts w:hint="eastAsia" w:ascii="宋体" w:hAnsi="宋体" w:eastAsia="宋体" w:cs="宋体"/>
          <w:sz w:val="24"/>
          <w:szCs w:val="24"/>
        </w:rPr>
      </w:pPr>
      <w:r>
        <w:rPr>
          <w:rFonts w:hint="eastAsia" w:ascii="宋体" w:hAnsi="宋体" w:eastAsia="宋体" w:cs="宋体"/>
          <w:sz w:val="24"/>
          <w:szCs w:val="24"/>
        </w:rPr>
        <w:t>孙天池先生，现年61岁，大学本科学历，高级工程师职称，从事工程机械生产、技术、管理40年，</w:t>
      </w:r>
      <w:r>
        <w:rPr>
          <w:rFonts w:hint="eastAsia" w:ascii="宋体" w:hAnsi="宋体" w:eastAsia="宋体" w:cs="宋体"/>
          <w:sz w:val="24"/>
          <w:szCs w:val="24"/>
          <w:lang w:val="en-US" w:eastAsia="zh-CN"/>
        </w:rPr>
        <w:t>始终就职于原国家工程机械领域龙头企业黄工集团，</w:t>
      </w:r>
      <w:r>
        <w:rPr>
          <w:rFonts w:hint="eastAsia" w:ascii="宋体" w:hAnsi="宋体" w:eastAsia="宋体" w:cs="宋体"/>
          <w:sz w:val="24"/>
          <w:szCs w:val="24"/>
        </w:rPr>
        <w:t>积累了丰富的企业管理经验。</w:t>
      </w:r>
      <w:r>
        <w:rPr>
          <w:rFonts w:hint="eastAsia" w:ascii="宋体" w:hAnsi="宋体" w:eastAsia="宋体" w:cs="宋体"/>
          <w:sz w:val="24"/>
          <w:szCs w:val="24"/>
          <w:lang w:val="en-US" w:eastAsia="zh-CN"/>
        </w:rPr>
        <w:t>后黄工集团被中联重科收购后，孙总在原皇宫集团服务公司的基础上改制成立黄工机械公司，带领原黄工集团老班底进行研发隧道掘进设备，历时六年，核心设计及核心部件的加工、调试都由团队自行完成，历时六年，产品经过一系列各种环境的多次实地测试，最终定型。于2014年11月成立陕西道一智能科技有限公司。</w:t>
      </w:r>
    </w:p>
    <w:p>
      <w:pPr>
        <w:spacing w:line="240" w:lineRule="auto"/>
        <w:ind w:left="0" w:leftChars="0" w:firstLine="56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短期目标</w:t>
      </w:r>
    </w:p>
    <w:p>
      <w:pPr>
        <w:spacing w:line="240" w:lineRule="auto"/>
        <w:ind w:left="0" w:leftChars="0" w:firstLine="560"/>
        <w:rPr>
          <w:rFonts w:hint="eastAsia" w:ascii="宋体" w:hAnsi="宋体" w:eastAsia="宋体" w:cs="宋体"/>
          <w:sz w:val="24"/>
          <w:szCs w:val="24"/>
        </w:rPr>
      </w:pPr>
      <w:r>
        <w:rPr>
          <w:rFonts w:hint="eastAsia" w:ascii="宋体" w:hAnsi="宋体" w:eastAsia="宋体" w:cs="宋体"/>
          <w:sz w:val="24"/>
          <w:szCs w:val="24"/>
        </w:rPr>
        <w:t>道一公司拥有一支较强的技术研发队伍</w:t>
      </w:r>
      <w:r>
        <w:rPr>
          <w:rFonts w:hint="eastAsia" w:ascii="宋体" w:hAnsi="宋体" w:eastAsia="宋体" w:cs="宋体"/>
          <w:sz w:val="24"/>
          <w:szCs w:val="24"/>
          <w:lang w:eastAsia="zh-CN"/>
        </w:rPr>
        <w:t>，</w:t>
      </w:r>
      <w:r>
        <w:rPr>
          <w:rFonts w:hint="eastAsia" w:ascii="宋体" w:hAnsi="宋体" w:eastAsia="宋体" w:cs="宋体"/>
          <w:sz w:val="24"/>
          <w:szCs w:val="24"/>
        </w:rPr>
        <w:t>并和国内多家机构强强联手，研发出拥有自主知识产权多个工程机械产品。公司以市场为导向，以科技为依托，</w:t>
      </w:r>
      <w:r>
        <w:rPr>
          <w:rFonts w:hint="eastAsia" w:ascii="宋体" w:hAnsi="宋体" w:eastAsia="宋体" w:cs="宋体"/>
          <w:sz w:val="24"/>
          <w:szCs w:val="24"/>
          <w:lang w:val="en-US" w:eastAsia="zh-CN"/>
        </w:rPr>
        <w:t>打算</w:t>
      </w:r>
      <w:r>
        <w:rPr>
          <w:rFonts w:hint="eastAsia" w:ascii="宋体" w:hAnsi="宋体" w:eastAsia="宋体" w:cs="宋体"/>
          <w:sz w:val="24"/>
          <w:szCs w:val="24"/>
        </w:rPr>
        <w:t>延伸产业链，着力把企业做实做大做强。</w:t>
      </w:r>
    </w:p>
    <w:p>
      <w:pPr>
        <w:spacing w:line="240" w:lineRule="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现阶段团队文化</w:t>
      </w:r>
    </w:p>
    <w:p>
      <w:pPr>
        <w:spacing w:line="240" w:lineRule="auto"/>
        <w:ind w:left="0" w:leftChars="0" w:firstLine="560"/>
        <w:rPr>
          <w:rFonts w:hint="eastAsia" w:ascii="宋体" w:hAnsi="宋体" w:eastAsia="宋体" w:cs="宋体"/>
          <w:sz w:val="24"/>
          <w:szCs w:val="24"/>
        </w:rPr>
      </w:pPr>
      <w:r>
        <w:rPr>
          <w:rFonts w:hint="eastAsia" w:ascii="宋体" w:hAnsi="宋体" w:eastAsia="宋体" w:cs="宋体"/>
          <w:sz w:val="24"/>
          <w:szCs w:val="24"/>
        </w:rPr>
        <w:t>公司自成立以来，一直以“市场是企业的生命，质量是生命的保证”为服务宗旨，秉承“台作、奉献、前瞻、诚信”的企业精神，坚持“诚信立大业、双赢筑辉煌”的经营原则，在注重发展的同时，公司在人力资源管理方面坚持“以人为本”，实施亲情化管理，以“辉煌事业感召人、良好待遇吸引人、优秀文化凝聚人、优良环境成就人”的理念，广纳贤才，聚集了管理、生产、技术、工程、销售等各方面优秀人才，形成了公司的核心员工队伍。公司还相应地采取了各种各样的培训、教育方式，定期举办各类专项培训，不断提高员工基本素质和业务技能。公司凭借拥有一批理论基础扎实、经验丰富的技术管理人员，“优质、严谨、高效、扎实、全面”的工作作风，积极开拓，求实进取，努力创新。</w:t>
      </w:r>
    </w:p>
    <w:p>
      <w:pPr>
        <w:spacing w:line="240" w:lineRule="auto"/>
        <w:ind w:left="0" w:left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2产品开发的背景</w:t>
      </w:r>
    </w:p>
    <w:p>
      <w:pPr>
        <w:spacing w:beforeLines="50" w:afterLines="50" w:line="240" w:lineRule="auto"/>
        <w:ind w:left="0" w:leftChars="0"/>
        <w:rPr>
          <w:rFonts w:hint="eastAsia" w:ascii="宋体" w:hAnsi="宋体" w:eastAsia="宋体" w:cs="宋体"/>
          <w:b w:val="0"/>
          <w:bCs w:val="0"/>
          <w:kern w:val="44"/>
          <w:sz w:val="22"/>
          <w:szCs w:val="22"/>
          <w:lang w:val="en-US" w:eastAsia="zh-CN"/>
        </w:rPr>
      </w:pPr>
      <w:r>
        <w:rPr>
          <w:rFonts w:hint="eastAsia" w:ascii="宋体" w:hAnsi="宋体" w:eastAsia="宋体" w:cs="宋体"/>
          <w:b w:val="0"/>
          <w:bCs w:val="0"/>
          <w:kern w:val="44"/>
          <w:sz w:val="22"/>
          <w:szCs w:val="22"/>
          <w:lang w:val="en-US" w:eastAsia="zh-CN"/>
        </w:rPr>
        <w:t>一款目前将极坐标定位原理应用于隧道掘进的专业凿岩设备，在现行及未来政策需求、现代化施工安全需求、目前国内工程施工领域需求量大、需求迫切、及市场同类产品及优质产品匮乏的情况下该公司及产品未来有爆发增长可能的项目。</w:t>
      </w:r>
    </w:p>
    <w:p>
      <w:pPr>
        <w:spacing w:beforeLines="50" w:afterLines="50" w:line="240" w:lineRule="auto"/>
        <w:ind w:left="0" w:leftChars="0"/>
        <w:rPr>
          <w:rFonts w:hint="eastAsia" w:ascii="微软雅黑" w:hAnsi="微软雅黑" w:eastAsia="微软雅黑" w:cs="微软雅黑"/>
          <w:b w:val="0"/>
          <w:bCs w:val="0"/>
          <w:sz w:val="24"/>
          <w:szCs w:val="24"/>
          <w:lang w:val="en-US" w:eastAsia="zh-CN"/>
        </w:rPr>
      </w:pPr>
      <w:r>
        <w:rPr>
          <w:rFonts w:hint="eastAsia" w:ascii="宋体" w:hAnsi="宋体" w:eastAsia="宋体" w:cs="宋体"/>
          <w:b w:val="0"/>
          <w:bCs w:val="0"/>
          <w:sz w:val="24"/>
          <w:szCs w:val="24"/>
          <w:lang w:val="en-US" w:eastAsia="zh-CN"/>
        </w:rPr>
        <w:t>2008~2009年创始人孙天池发现隧道掘进设备在国内及国际上产品缺失空间大，利润空间高，市场需求巨大，开始着手自行组班子设计、研发，历时六、七</w:t>
      </w:r>
      <w:r>
        <w:rPr>
          <w:rFonts w:hint="eastAsia" w:ascii="宋体" w:hAnsi="宋体" w:eastAsia="宋体" w:cs="宋体"/>
          <w:b w:val="0"/>
          <w:bCs w:val="0"/>
          <w:sz w:val="24"/>
          <w:szCs w:val="24"/>
        </w:rPr>
        <w:t>年以始终不渝的拼搏精神，坚忍不拔的创业意志，宁折不弯的坚强斗志，带领一班人克难攻坚，大胆创新，积累出一整套经营管理经验，带出了一支工作扎实，作风过硬的领导团队，培养出一支思想好、业务熟、技术精的员工队伍。</w:t>
      </w:r>
      <w:r>
        <w:rPr>
          <w:rFonts w:hint="eastAsia" w:ascii="宋体" w:hAnsi="宋体" w:eastAsia="宋体" w:cs="宋体"/>
          <w:b w:val="0"/>
          <w:bCs w:val="0"/>
          <w:sz w:val="24"/>
          <w:szCs w:val="24"/>
          <w:lang w:val="en-US" w:eastAsia="zh-CN"/>
        </w:rPr>
        <w:t>核心技术及核心产品部件均由自己团队自行车、钳、铣、刨、磨自行制造、调试，又经过两年以上时间在各种环境下经过测试、考验、试用，最终形成产品获得认可。这些独立、顽强的硬派创造作风</w:t>
      </w:r>
      <w:r>
        <w:rPr>
          <w:rFonts w:hint="eastAsia" w:ascii="宋体" w:hAnsi="宋体" w:eastAsia="宋体" w:cs="宋体"/>
          <w:b w:val="0"/>
          <w:bCs w:val="0"/>
          <w:sz w:val="24"/>
          <w:szCs w:val="24"/>
        </w:rPr>
        <w:t>都为公司的可持续发展奠定了扎实可靠的基础</w:t>
      </w:r>
      <w:r>
        <w:rPr>
          <w:rFonts w:hint="eastAsia" w:ascii="宋体" w:hAnsi="宋体" w:eastAsia="宋体" w:cs="宋体"/>
          <w:b w:val="0"/>
          <w:bCs w:val="0"/>
          <w:sz w:val="24"/>
          <w:szCs w:val="24"/>
          <w:lang w:eastAsia="zh-CN"/>
        </w:rPr>
        <w:t>。</w:t>
      </w:r>
    </w:p>
    <w:p>
      <w:pPr>
        <w:spacing w:beforeLines="50" w:afterLines="50" w:line="240" w:lineRule="auto"/>
        <w:ind w:left="0" w:leftChars="0"/>
        <w:rPr>
          <w:rFonts w:hint="eastAsia" w:ascii="微软雅黑" w:hAnsi="微软雅黑" w:eastAsia="微软雅黑" w:cs="微软雅黑"/>
          <w:kern w:val="0"/>
          <w:sz w:val="24"/>
          <w:szCs w:val="24"/>
          <w:lang w:val="en-US" w:eastAsia="zh-CN"/>
        </w:rPr>
      </w:pPr>
      <w:bookmarkStart w:id="2" w:name="_Toc451111617"/>
      <w:r>
        <w:rPr>
          <w:rFonts w:hint="eastAsia" w:ascii="微软雅黑" w:hAnsi="微软雅黑" w:eastAsia="微软雅黑" w:cs="微软雅黑"/>
          <w:kern w:val="0"/>
          <w:sz w:val="24"/>
          <w:szCs w:val="24"/>
          <w:lang w:val="en-US" w:eastAsia="zh-CN"/>
        </w:rPr>
        <w:t>3</w:t>
      </w:r>
      <w:r>
        <w:rPr>
          <w:rFonts w:hint="eastAsia" w:ascii="微软雅黑" w:hAnsi="微软雅黑" w:eastAsia="微软雅黑" w:cs="微软雅黑"/>
          <w:kern w:val="0"/>
          <w:sz w:val="24"/>
          <w:szCs w:val="24"/>
        </w:rPr>
        <w:t xml:space="preserve"> </w:t>
      </w:r>
      <w:r>
        <w:rPr>
          <w:rFonts w:hint="eastAsia" w:ascii="微软雅黑" w:hAnsi="微软雅黑" w:eastAsia="微软雅黑" w:cs="微软雅黑"/>
          <w:kern w:val="0"/>
          <w:sz w:val="24"/>
          <w:szCs w:val="24"/>
          <w:lang w:val="zh-CN"/>
        </w:rPr>
        <w:t>凿岩台车的</w:t>
      </w:r>
      <w:bookmarkEnd w:id="2"/>
      <w:r>
        <w:rPr>
          <w:rFonts w:hint="eastAsia" w:ascii="微软雅黑" w:hAnsi="微软雅黑" w:eastAsia="微软雅黑" w:cs="微软雅黑"/>
          <w:kern w:val="0"/>
          <w:sz w:val="24"/>
          <w:szCs w:val="24"/>
          <w:lang w:val="en-US" w:eastAsia="zh-CN"/>
        </w:rPr>
        <w:t>主要功能、特色。</w:t>
      </w:r>
    </w:p>
    <w:p>
      <w:pPr>
        <w:spacing w:beforeLines="50" w:afterLines="50" w:line="240" w:lineRule="auto"/>
        <w:ind w:left="0" w:leftChars="0"/>
        <w:rPr>
          <w:rFonts w:hint="eastAsia" w:ascii="微软雅黑" w:hAnsi="微软雅黑" w:eastAsia="微软雅黑" w:cs="微软雅黑"/>
          <w:sz w:val="22"/>
          <w:szCs w:val="22"/>
          <w:lang w:val="zh-CN"/>
        </w:rPr>
      </w:pP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lang w:val="zh-CN"/>
        </w:rPr>
        <w:t>切钻孔速度：</w:t>
      </w:r>
      <w:r>
        <w:rPr>
          <w:rFonts w:hint="eastAsia" w:ascii="宋体" w:hAnsi="宋体" w:eastAsia="宋体" w:cs="宋体"/>
          <w:sz w:val="22"/>
          <w:szCs w:val="22"/>
          <w:lang w:val="zh-CN"/>
        </w:rPr>
        <w:t>液压凿岩台车比气动凿岩机的衡岩速度快56-122%以上，总体施工进度比人工开挖快37%以上，可以实现多孔同时推进，一次成多孔，大大减少钻孔时间，同时因钻杆定位迅速准确，而且不需要搭建辅助工作平台，这样可以大大节约非钻孔时间.并且在钻孔的同时，边钻孔边装炸药，可以缩短工序衔接的时间。</w:t>
      </w:r>
    </w:p>
    <w:p>
      <w:pPr>
        <w:spacing w:beforeLines="50" w:afterLines="50" w:line="240" w:lineRule="auto"/>
        <w:ind w:left="0" w:leftChars="0"/>
        <w:rPr>
          <w:rFonts w:hint="eastAsia" w:ascii="宋体" w:hAnsi="宋体" w:eastAsia="宋体" w:cs="宋体"/>
          <w:sz w:val="22"/>
          <w:szCs w:val="22"/>
          <w:lang w:val="zh-CN"/>
        </w:rPr>
      </w:pP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color w:val="auto"/>
          <w:sz w:val="24"/>
          <w:szCs w:val="24"/>
          <w:lang w:val="zh-CN"/>
        </w:rPr>
        <w:t>能源消耗：</w:t>
      </w:r>
      <w:r>
        <w:rPr>
          <w:rFonts w:hint="eastAsia" w:ascii="宋体" w:hAnsi="宋体" w:eastAsia="宋体" w:cs="宋体"/>
          <w:sz w:val="22"/>
          <w:szCs w:val="22"/>
          <w:lang w:val="zh-CN"/>
        </w:rPr>
        <w:t>利用瑞典353E三臂凿岩台车进行隧道掘进的施工，动力消耗较少，能量利用率高，液压凿岩机动力消耗（尤其是是油料)仅为风动凿岩机的l/4-1/2。能量利用率液压凿岩机达到30%-40%，风动凿岩机仅有10-20%。此新技术的应用大大节约了资源。</w:t>
      </w:r>
    </w:p>
    <w:p>
      <w:pPr>
        <w:spacing w:beforeLines="50" w:afterLines="50" w:line="240" w:lineRule="auto"/>
        <w:ind w:left="0" w:leftChars="0"/>
        <w:rPr>
          <w:rFonts w:hint="eastAsia" w:ascii="宋体" w:hAnsi="宋体" w:eastAsia="宋体" w:cs="宋体"/>
          <w:sz w:val="22"/>
          <w:szCs w:val="22"/>
        </w:rPr>
      </w:pPr>
      <w:r>
        <w:rPr>
          <w:rFonts w:hint="eastAsia" w:ascii="微软雅黑" w:hAnsi="微软雅黑" w:eastAsia="微软雅黑" w:cs="微软雅黑"/>
          <w:sz w:val="24"/>
          <w:szCs w:val="24"/>
          <w:lang w:val="zh-CN"/>
        </w:rPr>
        <w:t>多功能性</w:t>
      </w:r>
      <w:r>
        <w:rPr>
          <w:rFonts w:hint="eastAsia" w:ascii="宋体" w:hAnsi="宋体" w:eastAsia="宋体" w:cs="宋体"/>
          <w:sz w:val="22"/>
          <w:szCs w:val="22"/>
          <w:lang w:val="zh-CN"/>
        </w:rPr>
        <w:t>凿岩台车不仅可用于 5-30m超前探孔施工，增强了该设备应对不良地质的探测能力，还可以注浆钻孔，通过更换配套直径钻头，可灵活施作小导管，钻孔角度操作范围大。</w:t>
      </w:r>
      <w:r>
        <w:rPr>
          <w:rFonts w:hint="eastAsia" w:ascii="宋体" w:hAnsi="宋体" w:eastAsia="宋体" w:cs="宋体"/>
          <w:sz w:val="22"/>
          <w:szCs w:val="22"/>
        </w:rPr>
        <w:t xml:space="preserve"> </w:t>
      </w:r>
    </w:p>
    <w:p>
      <w:pPr>
        <w:spacing w:beforeLines="50" w:afterLines="50" w:line="240" w:lineRule="auto"/>
        <w:ind w:left="0" w:leftChars="0"/>
        <w:rPr>
          <w:rFonts w:hint="eastAsia" w:ascii="微软雅黑" w:hAnsi="微软雅黑" w:eastAsia="微软雅黑" w:cs="微软雅黑"/>
          <w:sz w:val="22"/>
          <w:szCs w:val="22"/>
        </w:rPr>
      </w:pPr>
    </w:p>
    <w:p>
      <w:pPr>
        <w:spacing w:beforeLines="50" w:afterLines="50" w:line="240" w:lineRule="auto"/>
        <w:ind w:left="0" w:leftChars="0"/>
        <w:rPr>
          <w:rFonts w:hint="eastAsia" w:ascii="宋体" w:hAnsi="宋体" w:eastAsia="宋体" w:cs="宋体"/>
          <w:sz w:val="22"/>
          <w:szCs w:val="22"/>
          <w:lang w:val="zh-CN"/>
        </w:rPr>
      </w:pPr>
      <w:r>
        <w:rPr>
          <w:rFonts w:hint="eastAsia" w:ascii="微软雅黑" w:hAnsi="微软雅黑" w:eastAsia="微软雅黑" w:cs="微软雅黑"/>
          <w:b/>
          <w:bCs/>
          <w:color w:val="auto"/>
          <w:sz w:val="24"/>
          <w:szCs w:val="24"/>
          <w:lang w:val="zh-CN"/>
        </w:rPr>
        <w:t>安全性及施工环境：</w:t>
      </w:r>
      <w:r>
        <w:rPr>
          <w:rFonts w:hint="eastAsia" w:ascii="宋体" w:hAnsi="宋体" w:eastAsia="宋体" w:cs="宋体"/>
          <w:sz w:val="22"/>
          <w:szCs w:val="22"/>
          <w:lang w:val="zh-CN"/>
        </w:rPr>
        <w:t>凿岩台车开挖工作面人员密度小、</w:t>
      </w:r>
      <w:r>
        <w:rPr>
          <w:rFonts w:hint="eastAsia" w:ascii="宋体" w:hAnsi="宋体" w:eastAsia="宋体" w:cs="宋体"/>
          <w:sz w:val="22"/>
          <w:szCs w:val="22"/>
          <w:lang w:val="en-US" w:eastAsia="zh-CN"/>
        </w:rPr>
        <w:t>人数少</w:t>
      </w:r>
      <w:r>
        <w:rPr>
          <w:rFonts w:hint="eastAsia" w:ascii="宋体" w:hAnsi="宋体" w:eastAsia="宋体" w:cs="宋体"/>
          <w:sz w:val="22"/>
          <w:szCs w:val="22"/>
          <w:lang w:val="zh-CN"/>
        </w:rPr>
        <w:t>，且主要操作人员处于凿岩台车操作室的保护之下，降低了落石伤人的</w:t>
      </w:r>
      <w:r>
        <w:rPr>
          <w:rFonts w:hint="eastAsia" w:ascii="宋体" w:hAnsi="宋体" w:eastAsia="宋体" w:cs="宋体"/>
          <w:sz w:val="22"/>
          <w:szCs w:val="22"/>
          <w:lang w:val="en-US" w:eastAsia="zh-CN"/>
        </w:rPr>
        <w:t>可能</w:t>
      </w:r>
      <w:r>
        <w:rPr>
          <w:rFonts w:hint="eastAsia" w:ascii="宋体" w:hAnsi="宋体" w:eastAsia="宋体" w:cs="宋体"/>
          <w:sz w:val="22"/>
          <w:szCs w:val="22"/>
          <w:lang w:val="zh-CN"/>
        </w:rPr>
        <w:t>性。凿岩台车采用闭式油路系统，消除了气动凿岩机排气时发出的高分贝噪音，</w:t>
      </w:r>
      <w:r>
        <w:rPr>
          <w:rFonts w:hint="eastAsia" w:ascii="宋体" w:hAnsi="宋体" w:eastAsia="宋体" w:cs="宋体"/>
          <w:sz w:val="22"/>
          <w:szCs w:val="22"/>
          <w:lang w:val="en-US" w:eastAsia="zh-CN"/>
        </w:rPr>
        <w:t>又</w:t>
      </w:r>
      <w:r>
        <w:rPr>
          <w:rFonts w:hint="eastAsia" w:ascii="宋体" w:hAnsi="宋体" w:eastAsia="宋体" w:cs="宋体"/>
          <w:sz w:val="22"/>
          <w:szCs w:val="22"/>
          <w:lang w:val="zh-CN"/>
        </w:rPr>
        <w:t>没有手风钻排出的湿雾废气，空气相对较为清新，安全性更高。操作人员在驾驶室内进行操作，有隔音等效果.改善了操作人员的环境条件，</w:t>
      </w:r>
      <w:r>
        <w:rPr>
          <w:rFonts w:hint="eastAsia" w:ascii="宋体" w:hAnsi="宋体" w:eastAsia="宋体" w:cs="宋体"/>
          <w:sz w:val="22"/>
          <w:szCs w:val="22"/>
          <w:lang w:val="en-US" w:eastAsia="zh-CN"/>
        </w:rPr>
        <w:t>目前国家相关政策要求十分严格，市场掘进设备匮乏，对掘进设备安全性需求十分迫切</w:t>
      </w:r>
      <w:r>
        <w:rPr>
          <w:rFonts w:hint="eastAsia" w:ascii="宋体" w:hAnsi="宋体" w:eastAsia="宋体" w:cs="宋体"/>
          <w:sz w:val="22"/>
          <w:szCs w:val="22"/>
          <w:lang w:val="zh-CN"/>
        </w:rPr>
        <w:t>。</w:t>
      </w:r>
    </w:p>
    <w:p>
      <w:pPr>
        <w:spacing w:beforeLines="50" w:afterLines="50" w:line="240" w:lineRule="auto"/>
        <w:ind w:left="0" w:leftChars="0"/>
        <w:rPr>
          <w:rFonts w:hint="eastAsia" w:ascii="微软雅黑" w:hAnsi="微软雅黑" w:eastAsia="微软雅黑" w:cs="微软雅黑"/>
          <w:sz w:val="22"/>
          <w:szCs w:val="22"/>
          <w:lang w:val="zh-CN"/>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 </w:t>
      </w:r>
      <w:r>
        <w:rPr>
          <w:rFonts w:hint="eastAsia" w:ascii="微软雅黑" w:hAnsi="微软雅黑" w:eastAsia="微软雅黑" w:cs="微软雅黑"/>
          <w:b/>
          <w:bCs/>
          <w:color w:val="auto"/>
          <w:sz w:val="24"/>
          <w:szCs w:val="24"/>
          <w:lang w:val="zh-CN"/>
        </w:rPr>
        <w:t>施工质量：</w:t>
      </w:r>
      <w:r>
        <w:rPr>
          <w:rFonts w:hint="eastAsia" w:ascii="宋体" w:hAnsi="宋体" w:eastAsia="宋体" w:cs="宋体"/>
          <w:sz w:val="22"/>
          <w:szCs w:val="22"/>
          <w:lang w:val="zh-CN"/>
        </w:rPr>
        <w:t>凿岩台车的钻杆一旦定位后，钻杆即可按水平或固定倾角推进，这与人工控制钻杆推进相比，大大提高钻孔质量，减少超挖量。在统计了左右线的超欠挖测量数据的情况下，通过计算平均线性超挖值指标，可知凿岩台车开挖成型比人工开挖成型好，</w:t>
      </w:r>
      <w:r>
        <w:rPr>
          <w:rFonts w:hint="eastAsia" w:ascii="宋体" w:hAnsi="宋体" w:eastAsia="宋体" w:cs="宋体"/>
          <w:sz w:val="22"/>
          <w:szCs w:val="22"/>
          <w:lang w:val="en-US" w:eastAsia="zh-CN"/>
        </w:rPr>
        <w:t>整体施工质量较高的特点</w:t>
      </w:r>
      <w:r>
        <w:rPr>
          <w:rFonts w:hint="eastAsia" w:ascii="宋体" w:hAnsi="宋体" w:eastAsia="宋体" w:cs="宋体"/>
          <w:sz w:val="22"/>
          <w:szCs w:val="22"/>
          <w:lang w:val="zh-CN"/>
        </w:rPr>
        <w:t>。</w:t>
      </w:r>
    </w:p>
    <w:p>
      <w:pPr>
        <w:spacing w:beforeLines="50" w:afterLines="50" w:line="240" w:lineRule="auto"/>
        <w:ind w:left="0" w:leftChars="0"/>
        <w:rPr>
          <w:rFonts w:hint="eastAsia" w:ascii="微软雅黑" w:hAnsi="微软雅黑" w:eastAsia="微软雅黑" w:cs="微软雅黑"/>
          <w:sz w:val="22"/>
          <w:szCs w:val="22"/>
          <w:lang w:val="zh-CN"/>
        </w:rPr>
      </w:pPr>
      <w:r>
        <w:rPr>
          <w:rFonts w:hint="eastAsia" w:ascii="微软雅黑" w:hAnsi="微软雅黑" w:eastAsia="微软雅黑" w:cs="微软雅黑"/>
          <w:b/>
          <w:bCs/>
          <w:color w:val="auto"/>
          <w:sz w:val="24"/>
          <w:szCs w:val="24"/>
          <w:lang w:val="zh-CN"/>
        </w:rPr>
        <w:t>施工人员配置：</w:t>
      </w:r>
      <w:r>
        <w:rPr>
          <w:rFonts w:hint="eastAsia" w:ascii="宋体" w:hAnsi="宋体" w:eastAsia="宋体" w:cs="宋体"/>
          <w:sz w:val="22"/>
          <w:szCs w:val="22"/>
          <w:lang w:val="zh-CN"/>
        </w:rPr>
        <w:t>凿岩台车开挖及手持风钻人工开挖施工，按两班工作制计划，前者开挖资源更趋集中合理，有利于提高人力资源的综合利用率。</w:t>
      </w:r>
    </w:p>
    <w:p>
      <w:pPr>
        <w:spacing w:beforeLines="50" w:afterLines="50" w:line="240" w:lineRule="auto"/>
        <w:ind w:left="0" w:leftChars="0"/>
        <w:rPr>
          <w:rFonts w:hint="eastAsia" w:ascii="微软雅黑" w:hAnsi="微软雅黑" w:eastAsia="微软雅黑" w:cs="微软雅黑"/>
          <w:sz w:val="22"/>
          <w:szCs w:val="22"/>
          <w:lang w:val="zh-CN"/>
        </w:rPr>
      </w:pPr>
      <w:r>
        <w:rPr>
          <w:rFonts w:hint="eastAsia" w:ascii="微软雅黑" w:hAnsi="微软雅黑" w:eastAsia="微软雅黑" w:cs="微软雅黑"/>
          <w:b/>
          <w:bCs/>
          <w:color w:val="auto"/>
          <w:sz w:val="24"/>
          <w:szCs w:val="24"/>
          <w:lang w:val="zh-CN"/>
        </w:rPr>
        <w:t>设备价格及一次性投入：</w:t>
      </w:r>
      <w:r>
        <w:rPr>
          <w:rFonts w:hint="eastAsia" w:ascii="宋体" w:hAnsi="宋体" w:eastAsia="宋体" w:cs="宋体"/>
          <w:sz w:val="22"/>
          <w:szCs w:val="22"/>
          <w:lang w:val="zh-CN"/>
        </w:rPr>
        <w:t>由于材料和制造技术的原因，性能较高的凿岩台车一般从国外整机进口或国内组装，每台瑞典353E三臂凿岩台车约</w:t>
      </w:r>
      <w:r>
        <w:rPr>
          <w:rFonts w:hint="eastAsia" w:ascii="宋体" w:hAnsi="宋体" w:eastAsia="宋体" w:cs="宋体"/>
          <w:sz w:val="22"/>
          <w:szCs w:val="22"/>
        </w:rPr>
        <w:t>1200</w:t>
      </w:r>
      <w:r>
        <w:rPr>
          <w:rFonts w:hint="eastAsia" w:ascii="宋体" w:hAnsi="宋体" w:eastAsia="宋体" w:cs="宋体"/>
          <w:sz w:val="22"/>
          <w:szCs w:val="22"/>
          <w:lang w:val="zh-CN"/>
        </w:rPr>
        <w:t>万元，零配件也要从国外进口，造成维护费用高昂。</w:t>
      </w:r>
      <w:r>
        <w:rPr>
          <w:rFonts w:hint="eastAsia" w:ascii="宋体" w:hAnsi="宋体" w:eastAsia="宋体" w:cs="宋体"/>
          <w:sz w:val="22"/>
          <w:szCs w:val="22"/>
          <w:lang w:val="en-US" w:eastAsia="zh-CN"/>
        </w:rPr>
        <w:t>一旦损坏，单次维修费用高达百万以上，设备零部件需从国外进口，成本高昂且周期较长，中铁系统最近采购过一台阿特拉斯的三臂掘进机，价格1200万元，损坏后维修成本高，导致搁置且无法量采；</w:t>
      </w:r>
      <w:r>
        <w:rPr>
          <w:rFonts w:hint="eastAsia" w:ascii="宋体" w:hAnsi="宋体" w:eastAsia="宋体" w:cs="宋体"/>
          <w:sz w:val="22"/>
          <w:szCs w:val="22"/>
          <w:lang w:val="zh-CN"/>
        </w:rPr>
        <w:t>而</w:t>
      </w:r>
      <w:r>
        <w:rPr>
          <w:rFonts w:hint="eastAsia" w:ascii="宋体" w:hAnsi="宋体" w:eastAsia="宋体" w:cs="宋体"/>
          <w:sz w:val="22"/>
          <w:szCs w:val="22"/>
          <w:lang w:val="en-US" w:eastAsia="zh-CN"/>
        </w:rPr>
        <w:t>道一</w:t>
      </w:r>
      <w:r>
        <w:rPr>
          <w:rFonts w:hint="eastAsia" w:ascii="宋体" w:hAnsi="宋体" w:eastAsia="宋体" w:cs="宋体"/>
          <w:sz w:val="22"/>
          <w:szCs w:val="22"/>
          <w:lang w:val="zh-CN"/>
        </w:rPr>
        <w:t>研发的多臂凿岩台车售价为</w:t>
      </w:r>
      <w:r>
        <w:rPr>
          <w:rFonts w:hint="eastAsia" w:ascii="宋体" w:hAnsi="宋体" w:eastAsia="宋体" w:cs="宋体"/>
          <w:sz w:val="22"/>
          <w:szCs w:val="22"/>
        </w:rPr>
        <w:t>200-300万元，且维修成本低廉</w:t>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技术具有全球唯一性，性能及尺寸的可调整性使得产品更符合国内市场施工方需求</w:t>
      </w:r>
      <w:r>
        <w:rPr>
          <w:rFonts w:hint="eastAsia" w:ascii="宋体" w:hAnsi="宋体" w:eastAsia="宋体" w:cs="宋体"/>
          <w:sz w:val="22"/>
          <w:szCs w:val="22"/>
          <w:lang w:val="zh-CN"/>
        </w:rPr>
        <w:t>。</w:t>
      </w:r>
    </w:p>
    <w:p>
      <w:pPr>
        <w:spacing w:beforeLines="50" w:afterLines="50" w:line="240" w:lineRule="auto"/>
        <w:ind w:left="0" w:leftChars="0"/>
        <w:rPr>
          <w:rFonts w:hint="eastAsia" w:ascii="微软雅黑" w:hAnsi="微软雅黑" w:eastAsia="微软雅黑" w:cs="微软雅黑"/>
          <w:sz w:val="22"/>
          <w:szCs w:val="22"/>
          <w:lang w:val="zh-CN"/>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  </w:t>
      </w:r>
      <w:r>
        <w:rPr>
          <w:rFonts w:hint="eastAsia" w:ascii="微软雅黑" w:hAnsi="微软雅黑" w:eastAsia="微软雅黑" w:cs="微软雅黑"/>
          <w:b/>
          <w:bCs/>
          <w:color w:val="auto"/>
          <w:sz w:val="24"/>
          <w:szCs w:val="24"/>
          <w:lang w:val="zh-CN"/>
        </w:rPr>
        <w:t>适用范围：</w:t>
      </w:r>
      <w:r>
        <w:rPr>
          <w:rFonts w:hint="eastAsia" w:ascii="宋体" w:hAnsi="宋体" w:eastAsia="宋体" w:cs="宋体"/>
          <w:sz w:val="22"/>
          <w:szCs w:val="22"/>
          <w:lang w:val="zh-CN"/>
        </w:rPr>
        <w:t>凿岩台车适合于二级公路、一级公路、高速公路、铁路特大隧道Ⅲ、Ⅳ级及部分Ⅴ级围岩地段，开挖断面为90-130m</w:t>
      </w:r>
      <w:r>
        <w:rPr>
          <w:rFonts w:hint="eastAsia" w:ascii="宋体" w:hAnsi="宋体" w:eastAsia="宋体" w:cs="宋体"/>
          <w:sz w:val="22"/>
          <w:szCs w:val="22"/>
          <w:vertAlign w:val="superscript"/>
          <w:lang w:val="zh-CN"/>
        </w:rPr>
        <w:t>3</w:t>
      </w:r>
      <w:r>
        <w:rPr>
          <w:rFonts w:hint="eastAsia" w:ascii="宋体" w:hAnsi="宋体" w:eastAsia="宋体" w:cs="宋体"/>
          <w:sz w:val="22"/>
          <w:szCs w:val="22"/>
          <w:lang w:val="zh-CN"/>
        </w:rPr>
        <w:t>。</w:t>
      </w:r>
      <w:bookmarkStart w:id="3" w:name="_Toc449649705"/>
    </w:p>
    <w:p>
      <w:pPr>
        <w:spacing w:beforeLines="50" w:afterLines="50" w:line="240" w:lineRule="auto"/>
        <w:ind w:left="0" w:leftChars="0"/>
        <w:rPr>
          <w:rFonts w:hint="eastAsia"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lang w:val="zh-CN"/>
        </w:rPr>
        <w:t xml:space="preserve">1 </w:t>
      </w:r>
      <w:bookmarkEnd w:id="3"/>
      <w:r>
        <w:rPr>
          <w:rFonts w:hint="eastAsia" w:ascii="黑体" w:hAnsi="黑体" w:eastAsia="黑体" w:cs="黑体"/>
          <w:b/>
          <w:bCs/>
          <w:kern w:val="0"/>
          <w:sz w:val="28"/>
          <w:szCs w:val="28"/>
          <w:lang w:val="zh-CN"/>
        </w:rPr>
        <w:t>市场情况</w:t>
      </w:r>
    </w:p>
    <w:p>
      <w:pPr>
        <w:spacing w:line="240" w:lineRule="auto"/>
        <w:ind w:left="0" w:leftChars="0" w:firstLine="480"/>
        <w:rPr>
          <w:rFonts w:hint="eastAsia" w:ascii="宋体" w:hAnsi="宋体" w:eastAsia="宋体" w:cs="宋体"/>
          <w:b/>
          <w:bCs/>
          <w:kern w:val="0"/>
          <w:sz w:val="24"/>
          <w:szCs w:val="24"/>
          <w:lang w:val="en-US" w:eastAsia="zh-CN"/>
        </w:rPr>
      </w:pPr>
      <w:r>
        <w:rPr>
          <w:rFonts w:hint="eastAsia" w:ascii="微软雅黑" w:hAnsi="微软雅黑" w:eastAsia="微软雅黑" w:cs="微软雅黑"/>
          <w:kern w:val="0"/>
          <w:sz w:val="24"/>
          <w:szCs w:val="24"/>
          <w:lang w:val="en-US" w:eastAsia="zh-CN"/>
        </w:rPr>
        <w:t xml:space="preserve">  </w:t>
      </w:r>
      <w:r>
        <w:rPr>
          <w:rFonts w:hint="eastAsia" w:ascii="宋体" w:hAnsi="宋体" w:eastAsia="宋体" w:cs="宋体"/>
          <w:b/>
          <w:bCs/>
          <w:kern w:val="0"/>
          <w:sz w:val="24"/>
          <w:szCs w:val="24"/>
          <w:lang w:val="en-US" w:eastAsia="zh-CN"/>
        </w:rPr>
        <w:t>前述：目前企业明确的市场需求，部分因为资金等问题不能承诺交付时间，没有签订合同。</w:t>
      </w:r>
    </w:p>
    <w:p>
      <w:pPr>
        <w:spacing w:line="240" w:lineRule="auto"/>
        <w:ind w:left="0" w:leftChars="0" w:firstLine="480"/>
        <w:rPr>
          <w:rFonts w:hint="eastAsia" w:ascii="宋体" w:hAnsi="宋体" w:eastAsia="宋体" w:cs="宋体"/>
          <w:color w:val="auto"/>
          <w:lang w:val="en-US" w:eastAsia="zh-CN"/>
        </w:rPr>
      </w:pPr>
      <w:r>
        <w:rPr>
          <w:rFonts w:hint="eastAsia" w:ascii="宋体" w:hAnsi="宋体" w:eastAsia="宋体" w:cs="宋体"/>
          <w:b w:val="0"/>
          <w:bCs w:val="0"/>
          <w:color w:val="auto"/>
          <w:kern w:val="0"/>
          <w:sz w:val="24"/>
          <w:szCs w:val="24"/>
          <w:lang w:val="en-US" w:eastAsia="zh-CN"/>
        </w:rPr>
        <w:t>中铁一局巴航巴汉高速米仓山隧道需要16台设备（已签订意向合同，付过订金，两台在造周期一月）；中国中铁航空港集团第一工程有限公司（铁一局改制过来的公司，已付定金）汶马高速需要15台；</w:t>
      </w:r>
      <w:r>
        <w:rPr>
          <w:rFonts w:hint="eastAsia" w:ascii="宋体" w:hAnsi="宋体" w:eastAsia="宋体" w:cs="宋体"/>
          <w:color w:val="auto"/>
          <w:sz w:val="24"/>
          <w:szCs w:val="24"/>
          <w:lang w:val="en-US" w:eastAsia="zh-CN"/>
        </w:rPr>
        <w:t>中铁20局明确告知在建隧道383公里，需求设备想要采购，企业因现阶段产品刚定型销售，周转资金跟不上，无法签订具体销售合同，意向与企业签订长期合作；铁一局装备部领导、成渝高速董事局高层、中铁14局渭南项目部、及其他隧道公司等。</w:t>
      </w:r>
    </w:p>
    <w:p>
      <w:pPr>
        <w:spacing w:line="240" w:lineRule="auto"/>
        <w:ind w:left="0" w:leftChars="0" w:firstLine="560"/>
        <w:rPr>
          <w:rFonts w:hint="eastAsia" w:ascii="宋体" w:hAnsi="宋体" w:eastAsia="宋体" w:cs="宋体"/>
          <w:sz w:val="24"/>
          <w:szCs w:val="24"/>
          <w:lang w:val="zh-CN"/>
        </w:rPr>
      </w:pPr>
      <w:r>
        <w:rPr>
          <w:rFonts w:hint="eastAsia" w:ascii="宋体" w:hAnsi="宋体" w:eastAsia="宋体" w:cs="宋体"/>
          <w:kern w:val="0"/>
          <w:sz w:val="24"/>
          <w:szCs w:val="24"/>
        </w:rPr>
        <w:t xml:space="preserve"> </w:t>
      </w:r>
      <w:r>
        <w:rPr>
          <w:rFonts w:hint="eastAsia" w:ascii="宋体" w:hAnsi="宋体" w:eastAsia="宋体" w:cs="宋体"/>
          <w:sz w:val="24"/>
          <w:szCs w:val="24"/>
          <w:lang w:val="zh-CN"/>
        </w:rPr>
        <w:t>据有关部门初步统计，我国在建公路隧道5100余座，长度5310公里；已纳入规划的公路隧道4200座，总长约5000公里。在建铁路隧道4200座，长度7795公里；已纳入规划的铁路隧道4600座，总长约10000公里。在建及纳入规划的水工隧道总长超过4000公里。隧道年均增长率高达20％，且有逐年增速加快的趋势。以300米的水电工程隧道项目为例，人工一个断面8个工人需要4小时，凿岩台车2个操作工只需2小时，能耗人工所需100千瓦的空压机4小时耗电400度，而凿岩台车所需两台30千瓦电机，2小时仅需耗电120度。方案比较每米可节约人工2万元。如果采用公司研发的智能轮胎多臂凿岩台车，在建隧道可节约1000亿元，规划隧道可节约1900亿元。</w:t>
      </w:r>
    </w:p>
    <w:p>
      <w:pPr>
        <w:spacing w:line="240" w:lineRule="auto"/>
        <w:ind w:left="0" w:leftChars="0" w:firstLine="480"/>
        <w:rPr>
          <w:rFonts w:hint="eastAsia" w:ascii="宋体" w:hAnsi="宋体" w:eastAsia="宋体" w:cs="宋体"/>
          <w:sz w:val="24"/>
          <w:szCs w:val="24"/>
          <w:lang w:val="zh-CN"/>
        </w:rPr>
      </w:pPr>
      <w:r>
        <w:rPr>
          <w:rFonts w:hint="eastAsia" w:ascii="宋体" w:hAnsi="宋体" w:eastAsia="宋体" w:cs="宋体"/>
          <w:sz w:val="24"/>
          <w:szCs w:val="24"/>
          <w:lang w:val="zh-CN"/>
        </w:rPr>
        <w:t>近几年来，由于我国对加强基础设施建设、西部大开发、推进城镇化建设适一带一路等一系列重大经济发展战略的实施，各种工程机械如:起重机、装载机、挖掘机、液压凿设备都表现出良好的市场销售势头，生产企业经营旺盛。由于本项目的主要产品是全液压凿岩台车，随着我国经济建设步伐的加快和国债项目的拉动，其增长速度已超出了人们原先的预计。据中国工程机械工业协会工程机械分会统计数据表明，中国工程机械市场已步入发展的高峰期。铁路、高速公路、城市轨道交通、机场、港口、水利、电网等方面基础设施建设，以及对煤、铁、有色金属等矿产的开发相继上马，新农村建设与高速铁路建设项目，直接拉动了对于建筑施工机械产品的需求。高铁计划建设里程，对液压凿岩台车、特种工程机械等工程机械形成了直接市场需求。</w:t>
      </w:r>
    </w:p>
    <w:p>
      <w:pPr>
        <w:spacing w:line="240" w:lineRule="auto"/>
        <w:ind w:left="0" w:leftChars="0"/>
        <w:jc w:val="both"/>
        <w:rPr>
          <w:rFonts w:hint="eastAsia" w:eastAsia="宋体"/>
          <w:b/>
          <w:bCs/>
          <w:sz w:val="28"/>
          <w:szCs w:val="32"/>
          <w:lang w:val="en-US" w:eastAsia="zh-CN"/>
        </w:rPr>
      </w:pPr>
      <w:bookmarkStart w:id="4" w:name="_Toc449649717"/>
      <w:r>
        <w:rPr>
          <w:rFonts w:hint="eastAsia"/>
          <w:b/>
          <w:bCs/>
          <w:sz w:val="28"/>
          <w:szCs w:val="32"/>
          <w:lang w:val="en-US" w:eastAsia="zh-CN"/>
        </w:rPr>
        <w:t>企业发展规划</w:t>
      </w:r>
    </w:p>
    <w:bookmarkEnd w:id="4"/>
    <w:p>
      <w:pPr>
        <w:spacing w:line="240" w:lineRule="auto"/>
        <w:ind w:left="0" w:leftChars="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第一阶段：技术定型和完善管理阶段（2015-2016）</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（1）完善设计图纸，制造样机，进行中试及性能检验，制定企业标准，组织技术鉴定。实施年限为2015年。</w:t>
      </w:r>
    </w:p>
    <w:p>
      <w:pPr>
        <w:spacing w:line="240" w:lineRule="auto"/>
        <w:ind w:left="0" w:leftChars="0"/>
        <w:rPr>
          <w:rFonts w:hint="eastAsia" w:ascii="宋体" w:hAnsi="宋体" w:eastAsia="宋体" w:cs="宋体"/>
          <w:sz w:val="24"/>
          <w:szCs w:val="24"/>
        </w:rPr>
      </w:pPr>
      <w:r>
        <w:rPr>
          <w:rFonts w:hint="eastAsia" w:ascii="宋体" w:hAnsi="宋体" w:eastAsia="宋体" w:cs="宋体"/>
          <w:sz w:val="24"/>
          <w:szCs w:val="24"/>
        </w:rPr>
        <w:t>（2）完成12项轮胎液压多臂凿岩台车的技术专利申请。为后期</w:t>
      </w:r>
    </w:p>
    <w:p>
      <w:pPr>
        <w:spacing w:line="240" w:lineRule="auto"/>
        <w:ind w:left="0" w:leftChars="0"/>
        <w:rPr>
          <w:rFonts w:hint="eastAsia" w:ascii="宋体" w:hAnsi="宋体" w:eastAsia="宋体" w:cs="宋体"/>
          <w:sz w:val="24"/>
          <w:szCs w:val="24"/>
        </w:rPr>
      </w:pPr>
      <w:r>
        <w:rPr>
          <w:rFonts w:hint="eastAsia" w:ascii="宋体" w:hAnsi="宋体" w:eastAsia="宋体" w:cs="宋体"/>
          <w:sz w:val="24"/>
          <w:szCs w:val="24"/>
        </w:rPr>
        <w:t>申报资金项目和申报高新技术企业提供基础条件。完成时间2015年。</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（3）完成公司的基本架构组建。组建制造加工公司、安装公司、销售公司、技术开发研究院等。完成时间2016年。</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（4）申报“智能工程装备”市级工程研究中心，和高等院校、研究院所进行产学研合作，完成企业的设计开发能力，提高公司的核心竞争力。完成时间2016年。</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（5）完成20台多臂凿岩台车的生产销售。</w:t>
      </w:r>
    </w:p>
    <w:p>
      <w:pPr>
        <w:spacing w:line="240" w:lineRule="auto"/>
        <w:ind w:left="0" w:leftChars="0" w:firstLine="549" w:firstLineChars="196"/>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cs="宋体"/>
          <w:sz w:val="24"/>
          <w:szCs w:val="24"/>
          <w:lang w:val="en-US" w:eastAsia="zh-CN"/>
        </w:rPr>
        <w:t>2016年最晚6~7月与新三板挂牌中介机构签约，着手准备并推进新三板挂牌工作，公司于2016年11月满足新三板挂牌存续时间要求，11月后着手准备递交资料。</w:t>
      </w:r>
    </w:p>
    <w:p>
      <w:pPr>
        <w:spacing w:line="240" w:lineRule="auto"/>
        <w:ind w:left="0" w:leftChars="0" w:firstLine="549" w:firstLineChars="196"/>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第二阶段：智能应用和推广示范阶段（2017）</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（1）核心竞争力形成阶段，形成独立设计能力，形成高新技术管理体系；</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（2）完成10余项智能轮胎液压多臂凿岩台车高效利用和智能化技术专利申请；</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（3）申请建成“智能工程装备”市级工程技术研究中心，申报“智能工程装备”省级工程技术研发中心；</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（4）申请完成高新技术企业；</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（5）申请完成轮胎液压多臂凿岩台车的智能化应用示范工程；</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（6）申请省级“智能工程装备”重大科技专项资金；</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（7）申请智能多臂凿岩台车信息化管理示范工程；</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（8）完成50台多臂凿岩台车的生产销售。</w:t>
      </w:r>
    </w:p>
    <w:p>
      <w:pPr>
        <w:spacing w:line="240" w:lineRule="auto"/>
        <w:ind w:left="0" w:leftChars="0" w:firstLine="549" w:firstLineChars="196"/>
        <w:rPr>
          <w:rFonts w:hint="eastAsia" w:ascii="宋体" w:hAnsi="宋体" w:eastAsia="宋体" w:cs="宋体"/>
          <w:sz w:val="24"/>
          <w:szCs w:val="24"/>
        </w:rPr>
      </w:pPr>
    </w:p>
    <w:p>
      <w:pPr>
        <w:spacing w:line="240" w:lineRule="auto"/>
        <w:ind w:left="0" w:leftChars="0" w:firstLine="549" w:firstLineChars="196"/>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第三阶段：全面智能和应用升级阶段（2018）</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（1）核心竞争力完成阶段，形成技术创新能力，建成高新技术管理企业；</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（2）申请拥有国家技术专利10项，并对80%专利进行产业化。</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（3）实现产品类型由部分智能型向高效利用和全面智能的技术升级。</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（4）组建投资公司，真正实现产品和资金的高效利用。</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lang w:val="en-US" w:eastAsia="zh-CN"/>
        </w:rPr>
        <w:t>争取</w:t>
      </w:r>
      <w:r>
        <w:rPr>
          <w:rFonts w:hint="eastAsia" w:ascii="宋体" w:hAnsi="宋体" w:eastAsia="宋体" w:cs="宋体"/>
          <w:sz w:val="24"/>
          <w:szCs w:val="24"/>
        </w:rPr>
        <w:t>“道一智能装备”</w:t>
      </w:r>
      <w:r>
        <w:rPr>
          <w:rFonts w:hint="eastAsia" w:ascii="宋体" w:hAnsi="宋体" w:eastAsia="宋体" w:cs="宋体"/>
          <w:sz w:val="24"/>
          <w:szCs w:val="24"/>
          <w:lang w:val="en-US" w:eastAsia="zh-CN"/>
        </w:rPr>
        <w:t>转板成为</w:t>
      </w:r>
      <w:r>
        <w:rPr>
          <w:rFonts w:hint="eastAsia" w:ascii="宋体" w:hAnsi="宋体" w:eastAsia="宋体" w:cs="宋体"/>
          <w:sz w:val="24"/>
          <w:szCs w:val="24"/>
        </w:rPr>
        <w:t>上市公司。</w:t>
      </w:r>
    </w:p>
    <w:p>
      <w:pPr>
        <w:spacing w:line="240" w:lineRule="auto"/>
        <w:ind w:left="0" w:leftChars="0" w:firstLine="549" w:firstLineChars="196"/>
        <w:rPr>
          <w:rFonts w:hint="eastAsia" w:ascii="宋体" w:hAnsi="宋体" w:eastAsia="宋体" w:cs="宋体"/>
          <w:sz w:val="24"/>
          <w:szCs w:val="24"/>
        </w:rPr>
      </w:pPr>
      <w:r>
        <w:rPr>
          <w:rFonts w:hint="eastAsia" w:ascii="宋体" w:hAnsi="宋体" w:eastAsia="宋体" w:cs="宋体"/>
          <w:sz w:val="24"/>
          <w:szCs w:val="24"/>
        </w:rPr>
        <w:t>（6）实现100台多臂凿岩台车的生产销售。</w:t>
      </w:r>
    </w:p>
    <w:p>
      <w:pPr>
        <w:spacing w:line="240" w:lineRule="auto"/>
        <w:ind w:left="0" w:leftChars="0"/>
        <w:rPr>
          <w:rFonts w:hint="eastAsia" w:ascii="微软雅黑" w:hAnsi="微软雅黑" w:eastAsia="微软雅黑" w:cs="微软雅黑"/>
          <w:b/>
          <w:bCs/>
          <w:sz w:val="24"/>
          <w:szCs w:val="24"/>
        </w:rPr>
      </w:pPr>
      <w:bookmarkStart w:id="5" w:name="_Toc451111642"/>
      <w:r>
        <w:rPr>
          <w:rFonts w:hint="eastAsia" w:ascii="微软雅黑" w:hAnsi="微软雅黑" w:eastAsia="微软雅黑" w:cs="微软雅黑"/>
          <w:b/>
          <w:bCs/>
          <w:sz w:val="24"/>
          <w:szCs w:val="24"/>
        </w:rPr>
        <w:t>经济效益</w:t>
      </w:r>
      <w:bookmarkEnd w:id="5"/>
    </w:p>
    <w:p>
      <w:pPr>
        <w:spacing w:line="240" w:lineRule="auto"/>
        <w:ind w:left="0" w:leftChars="0" w:firstLine="562"/>
        <w:rPr>
          <w:rFonts w:hint="eastAsia" w:ascii="微软雅黑" w:hAnsi="微软雅黑" w:eastAsia="微软雅黑" w:cs="微软雅黑"/>
          <w:b/>
          <w:kern w:val="0"/>
          <w:sz w:val="24"/>
          <w:szCs w:val="24"/>
        </w:rPr>
      </w:pPr>
      <w:r>
        <w:rPr>
          <w:rFonts w:hint="eastAsia" w:ascii="微软雅黑" w:hAnsi="微软雅黑" w:eastAsia="微软雅黑" w:cs="微软雅黑"/>
          <w:b/>
          <w:sz w:val="24"/>
          <w:szCs w:val="24"/>
        </w:rPr>
        <w:t>1、</w:t>
      </w:r>
      <w:r>
        <w:rPr>
          <w:rFonts w:hint="eastAsia" w:ascii="微软雅黑" w:hAnsi="微软雅黑" w:eastAsia="微软雅黑" w:cs="微软雅黑"/>
          <w:b/>
          <w:kern w:val="0"/>
          <w:sz w:val="24"/>
          <w:szCs w:val="24"/>
        </w:rPr>
        <w:t>销售收入</w:t>
      </w:r>
    </w:p>
    <w:p>
      <w:pPr>
        <w:spacing w:line="240" w:lineRule="auto"/>
        <w:ind w:left="0" w:leftChars="0" w:firstLine="560"/>
        <w:rPr>
          <w:rFonts w:hint="eastAsia" w:ascii="宋体" w:hAnsi="宋体" w:eastAsia="宋体" w:cs="宋体"/>
          <w:bCs/>
          <w:kern w:val="0"/>
          <w:sz w:val="24"/>
          <w:szCs w:val="24"/>
        </w:rPr>
      </w:pPr>
      <w:r>
        <w:rPr>
          <w:rFonts w:hint="eastAsia" w:ascii="宋体" w:hAnsi="宋体" w:eastAsia="宋体" w:cs="宋体"/>
          <w:kern w:val="0"/>
          <w:sz w:val="24"/>
          <w:szCs w:val="24"/>
        </w:rPr>
        <w:t>达产后</w:t>
      </w:r>
      <w:r>
        <w:rPr>
          <w:rFonts w:hint="eastAsia" w:ascii="宋体" w:hAnsi="宋体" w:eastAsia="宋体" w:cs="宋体"/>
          <w:sz w:val="24"/>
          <w:szCs w:val="24"/>
        </w:rPr>
        <w:t>年生产能力凿岩台车100辆，</w:t>
      </w:r>
      <w:r>
        <w:rPr>
          <w:rFonts w:hint="eastAsia" w:ascii="宋体" w:hAnsi="宋体" w:eastAsia="宋体" w:cs="宋体"/>
          <w:kern w:val="0"/>
          <w:sz w:val="24"/>
          <w:szCs w:val="24"/>
        </w:rPr>
        <w:t>项目产品年销售收入为19100万元(第4年,下同)。</w:t>
      </w:r>
    </w:p>
    <w:p>
      <w:pPr>
        <w:spacing w:line="240" w:lineRule="auto"/>
        <w:ind w:left="0" w:leftChars="0" w:firstLine="562"/>
        <w:rPr>
          <w:rFonts w:hint="eastAsia" w:ascii="微软雅黑" w:hAnsi="微软雅黑" w:eastAsia="微软雅黑" w:cs="微软雅黑"/>
          <w:b/>
          <w:bCs/>
          <w:kern w:val="0"/>
          <w:sz w:val="24"/>
          <w:szCs w:val="24"/>
        </w:rPr>
      </w:pPr>
      <w:r>
        <w:rPr>
          <w:rFonts w:hint="eastAsia" w:ascii="微软雅黑" w:hAnsi="微软雅黑" w:eastAsia="微软雅黑" w:cs="微软雅黑"/>
          <w:b/>
          <w:sz w:val="24"/>
          <w:szCs w:val="24"/>
        </w:rPr>
        <w:t>2、</w:t>
      </w:r>
      <w:r>
        <w:rPr>
          <w:rFonts w:hint="eastAsia" w:ascii="微软雅黑" w:hAnsi="微软雅黑" w:eastAsia="微软雅黑" w:cs="微软雅黑"/>
          <w:b/>
          <w:bCs/>
          <w:kern w:val="0"/>
          <w:sz w:val="24"/>
          <w:szCs w:val="24"/>
        </w:rPr>
        <w:t>销售税金及附加</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本项目产品设备制造业，按现行西部大开发政策，经营销售增值税税率为15%,城市维护建设税税率为7%,教育费附加税率为3%，达产年销售税金及附加为1585.71万元。</w:t>
      </w:r>
    </w:p>
    <w:p>
      <w:pPr>
        <w:spacing w:line="240" w:lineRule="auto"/>
        <w:ind w:left="0" w:leftChars="0" w:firstLine="562"/>
        <w:rPr>
          <w:rFonts w:hint="eastAsia" w:ascii="微软雅黑" w:hAnsi="微软雅黑" w:eastAsia="微软雅黑" w:cs="微软雅黑"/>
          <w:b/>
          <w:bCs/>
          <w:kern w:val="0"/>
          <w:sz w:val="24"/>
          <w:szCs w:val="24"/>
        </w:rPr>
      </w:pPr>
      <w:r>
        <w:rPr>
          <w:rFonts w:hint="eastAsia" w:ascii="微软雅黑" w:hAnsi="微软雅黑" w:eastAsia="微软雅黑" w:cs="微软雅黑"/>
          <w:b/>
          <w:sz w:val="24"/>
          <w:szCs w:val="24"/>
        </w:rPr>
        <w:t>3、</w:t>
      </w:r>
      <w:r>
        <w:rPr>
          <w:rFonts w:hint="eastAsia" w:ascii="微软雅黑" w:hAnsi="微软雅黑" w:eastAsia="微软雅黑" w:cs="微软雅黑"/>
          <w:b/>
          <w:bCs/>
          <w:kern w:val="0"/>
          <w:sz w:val="24"/>
          <w:szCs w:val="24"/>
        </w:rPr>
        <w:t>单位产品生产成本估算</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本项目产品的原辅材料及动力消耗定额按当地市场价格计算。项目产品年生产成本648.85万元,其中原辅材料599.85万元，燃料动力49.00万元。</w:t>
      </w:r>
    </w:p>
    <w:p>
      <w:pPr>
        <w:spacing w:line="240" w:lineRule="auto"/>
        <w:ind w:left="0" w:leftChars="0" w:firstLine="562"/>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4、生产总成本及经营成本估算</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本项目人员工资按当地平均水平计算，社会福利费按照工资的14%计算，职工人数为116人，年计598.50万元/年。固定资产折旧:固定资产中房屋、建筑物折旧年限按20年计算，机器设备按15年计算。修理费按固定资产折旧的20%计算。其他费用按工资费用的2倍。销售费用:按销售收入的5%。财务费用同前。</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项目产品达产后，年生产总成本为11741.31万元，其中经营成本10620.27万元，固定成本为2986.74万元，可变成本为8754.57万元。</w:t>
      </w:r>
    </w:p>
    <w:p>
      <w:pPr>
        <w:spacing w:line="240" w:lineRule="auto"/>
        <w:ind w:left="0" w:leftChars="0" w:firstLine="632" w:firstLineChars="225"/>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5、经济效益分析</w:t>
      </w:r>
    </w:p>
    <w:p>
      <w:pPr>
        <w:spacing w:line="240" w:lineRule="auto"/>
        <w:ind w:left="0" w:leftChars="0" w:firstLine="562"/>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 1 \* GB2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zh-CN"/>
        </w:rPr>
        <w:t>⑴</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t>、价格估算</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国内的全液压凿岩台车价格主要由市场调节，国家不定价。依据公平、诚实信用的定价原理，初期采用战术性定价原则，即定价以综合生产成本为基础，上浮微量利润，参考目前国际市场价格。</w:t>
      </w:r>
    </w:p>
    <w:p>
      <w:pPr>
        <w:tabs>
          <w:tab w:val="left" w:pos="1050"/>
        </w:tabs>
        <w:spacing w:line="240" w:lineRule="auto"/>
        <w:ind w:left="0" w:leftChars="0" w:firstLine="562"/>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 2 \* GB2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zh-CN"/>
        </w:rPr>
        <w:t>⑵</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t>、利润分析</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本项目产品按现行政策和适用税率，利润及利润分配：本项目产品在计划期内，</w:t>
      </w:r>
      <w:r>
        <w:rPr>
          <w:rFonts w:hint="eastAsia" w:ascii="宋体" w:hAnsi="宋体" w:eastAsia="宋体" w:cs="宋体"/>
          <w:sz w:val="24"/>
          <w:szCs w:val="24"/>
          <w:lang w:val="en-US" w:eastAsia="zh-CN"/>
        </w:rPr>
        <w:t>三年后按每年100台销售</w:t>
      </w:r>
      <w:r>
        <w:rPr>
          <w:rFonts w:hint="eastAsia" w:ascii="宋体" w:hAnsi="宋体" w:eastAsia="宋体" w:cs="宋体"/>
          <w:sz w:val="24"/>
          <w:szCs w:val="24"/>
        </w:rPr>
        <w:t>达产后销售收入19100万元，纳税1585.71 万元，利润总额5772.98万元，净利润4329.74 万元。详见附表7：利润及利润分配预测表。本项目适用减免税，实际利润比测算的会多些。</w:t>
      </w:r>
    </w:p>
    <w:p>
      <w:pPr>
        <w:spacing w:line="240" w:lineRule="auto"/>
        <w:ind w:left="0" w:leftChars="0" w:firstLine="560" w:firstLineChars="200"/>
        <w:rPr>
          <w:rFonts w:hint="eastAsia" w:ascii="宋体" w:hAnsi="宋体" w:eastAsia="宋体" w:cs="宋体"/>
          <w:sz w:val="24"/>
          <w:szCs w:val="24"/>
        </w:rPr>
      </w:pPr>
    </w:p>
    <w:p>
      <w:pPr>
        <w:spacing w:line="240" w:lineRule="auto"/>
        <w:ind w:left="0" w:leftChars="0" w:firstLine="562"/>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6、项目财务分析</w:t>
      </w:r>
    </w:p>
    <w:p>
      <w:pPr>
        <w:spacing w:line="240" w:lineRule="auto"/>
        <w:ind w:left="0" w:leftChars="0" w:firstLine="560"/>
        <w:rPr>
          <w:rFonts w:hint="eastAsia" w:ascii="宋体" w:hAnsi="宋体" w:eastAsia="宋体" w:cs="宋体"/>
          <w:kern w:val="0"/>
          <w:sz w:val="24"/>
          <w:szCs w:val="24"/>
        </w:rPr>
      </w:pPr>
      <w:r>
        <w:rPr>
          <w:rFonts w:hint="eastAsia" w:ascii="宋体" w:hAnsi="宋体" w:eastAsia="宋体" w:cs="宋体"/>
          <w:kern w:val="0"/>
          <w:sz w:val="24"/>
          <w:szCs w:val="24"/>
        </w:rPr>
        <w:t>各财务分析指标计算如下：</w:t>
      </w:r>
    </w:p>
    <w:p>
      <w:pPr>
        <w:spacing w:line="240" w:lineRule="auto"/>
        <w:ind w:left="0" w:leftChars="0" w:firstLine="551" w:firstLineChars="196"/>
        <w:outlineLvl w:val="0"/>
        <w:rPr>
          <w:rFonts w:hint="eastAsia" w:ascii="微软雅黑" w:hAnsi="微软雅黑" w:eastAsia="微软雅黑" w:cs="微软雅黑"/>
          <w:b/>
          <w:spacing w:val="20"/>
          <w:sz w:val="24"/>
          <w:szCs w:val="24"/>
        </w:rPr>
      </w:pPr>
      <w:bookmarkStart w:id="6" w:name="_Toc451110867"/>
      <w:bookmarkStart w:id="7" w:name="_Toc450898290"/>
      <w:bookmarkStart w:id="8" w:name="_Toc450834751"/>
      <w:bookmarkStart w:id="9" w:name="_Toc451111643"/>
      <w:r>
        <w:rPr>
          <w:rFonts w:hint="eastAsia" w:ascii="微软雅黑" w:hAnsi="微软雅黑" w:eastAsia="微软雅黑" w:cs="微软雅黑"/>
          <w:b/>
          <w:sz w:val="24"/>
          <w:szCs w:val="24"/>
        </w:rPr>
        <w:t>①、</w:t>
      </w:r>
      <w:r>
        <w:rPr>
          <w:rFonts w:hint="eastAsia" w:ascii="微软雅黑" w:hAnsi="微软雅黑" w:eastAsia="微软雅黑" w:cs="微软雅黑"/>
          <w:b/>
          <w:spacing w:val="20"/>
          <w:sz w:val="24"/>
          <w:szCs w:val="24"/>
        </w:rPr>
        <w:t>项目财务净现值计算</w:t>
      </w:r>
      <w:bookmarkEnd w:id="6"/>
      <w:bookmarkEnd w:id="7"/>
      <w:bookmarkEnd w:id="8"/>
      <w:bookmarkEnd w:id="9"/>
    </w:p>
    <w:p>
      <w:pPr>
        <w:spacing w:line="240" w:lineRule="auto"/>
        <w:ind w:left="0" w:leftChars="0" w:firstLine="640"/>
        <w:outlineLvl w:val="0"/>
        <w:rPr>
          <w:rFonts w:hint="eastAsia" w:ascii="宋体" w:hAnsi="宋体" w:eastAsia="宋体" w:cs="宋体"/>
          <w:spacing w:val="20"/>
          <w:sz w:val="24"/>
          <w:szCs w:val="24"/>
        </w:rPr>
      </w:pPr>
      <w:bookmarkStart w:id="10" w:name="_Toc450898291"/>
      <w:bookmarkStart w:id="11" w:name="_Toc450834752"/>
      <w:bookmarkStart w:id="12" w:name="_Toc451111644"/>
      <w:bookmarkStart w:id="13" w:name="_Toc451110868"/>
      <w:r>
        <w:rPr>
          <w:rFonts w:hint="eastAsia" w:ascii="宋体" w:hAnsi="宋体" w:eastAsia="宋体" w:cs="宋体"/>
          <w:spacing w:val="20"/>
          <w:sz w:val="24"/>
          <w:szCs w:val="24"/>
        </w:rPr>
        <w:t>依据:</w:t>
      </w:r>
      <w:r>
        <w:rPr>
          <w:rFonts w:hint="eastAsia" w:ascii="宋体" w:hAnsi="宋体" w:eastAsia="宋体" w:cs="宋体"/>
          <w:sz w:val="24"/>
          <w:szCs w:val="24"/>
        </w:rPr>
        <w:drawing>
          <wp:anchor distT="0" distB="0" distL="114300" distR="114300" simplePos="0" relativeHeight="251697152" behindDoc="1" locked="0" layoutInCell="1" allowOverlap="1">
            <wp:simplePos x="0" y="0"/>
            <wp:positionH relativeFrom="column">
              <wp:posOffset>571500</wp:posOffset>
            </wp:positionH>
            <wp:positionV relativeFrom="paragraph">
              <wp:posOffset>297180</wp:posOffset>
            </wp:positionV>
            <wp:extent cx="2133600" cy="590550"/>
            <wp:effectExtent l="0" t="0" r="0" b="0"/>
            <wp:wrapTight wrapText="bothSides">
              <wp:wrapPolygon>
                <wp:start x="5207" y="2787"/>
                <wp:lineTo x="0" y="8361"/>
                <wp:lineTo x="0" y="12542"/>
                <wp:lineTo x="6364" y="15329"/>
                <wp:lineTo x="4629" y="16723"/>
                <wp:lineTo x="4821" y="20903"/>
                <wp:lineTo x="7521" y="20903"/>
                <wp:lineTo x="10800" y="13935"/>
                <wp:lineTo x="20636" y="11845"/>
                <wp:lineTo x="20443" y="7665"/>
                <wp:lineTo x="6750" y="2787"/>
                <wp:lineTo x="5207" y="2787"/>
              </wp:wrapPolygon>
            </wp:wrapTight>
            <wp:docPr id="3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0"/>
                    <pic:cNvPicPr>
                      <a:picLocks noChangeAspect="1"/>
                    </pic:cNvPicPr>
                  </pic:nvPicPr>
                  <pic:blipFill>
                    <a:blip r:embed="rId4"/>
                    <a:srcRect l="4697" r="57527"/>
                    <a:stretch>
                      <a:fillRect/>
                    </a:stretch>
                  </pic:blipFill>
                  <pic:spPr>
                    <a:xfrm>
                      <a:off x="0" y="0"/>
                      <a:ext cx="2133600" cy="590550"/>
                    </a:xfrm>
                    <a:prstGeom prst="rect">
                      <a:avLst/>
                    </a:prstGeom>
                    <a:noFill/>
                    <a:ln w="9525">
                      <a:noFill/>
                      <a:miter/>
                    </a:ln>
                  </pic:spPr>
                </pic:pic>
              </a:graphicData>
            </a:graphic>
          </wp:anchor>
        </w:drawing>
      </w:r>
      <w:bookmarkEnd w:id="10"/>
      <w:bookmarkEnd w:id="11"/>
      <w:bookmarkEnd w:id="12"/>
      <w:bookmarkEnd w:id="13"/>
    </w:p>
    <w:p>
      <w:pPr>
        <w:spacing w:line="240" w:lineRule="auto"/>
        <w:ind w:left="0" w:leftChars="0" w:firstLine="560"/>
        <w:rPr>
          <w:rFonts w:hint="eastAsia" w:ascii="宋体" w:hAnsi="宋体" w:eastAsia="宋体" w:cs="宋体"/>
          <w:sz w:val="24"/>
          <w:szCs w:val="24"/>
        </w:rPr>
      </w:pPr>
    </w:p>
    <w:p>
      <w:pPr>
        <w:spacing w:line="240" w:lineRule="auto"/>
        <w:ind w:left="0" w:leftChars="0" w:firstLine="560"/>
        <w:rPr>
          <w:rFonts w:hint="eastAsia" w:ascii="宋体" w:hAnsi="宋体" w:eastAsia="宋体" w:cs="宋体"/>
          <w:sz w:val="24"/>
          <w:szCs w:val="24"/>
        </w:rPr>
      </w:pPr>
    </w:p>
    <w:p>
      <w:pPr>
        <w:spacing w:line="240" w:lineRule="auto"/>
        <w:ind w:left="0" w:leftChars="0" w:firstLine="560"/>
        <w:rPr>
          <w:rFonts w:hint="eastAsia" w:ascii="宋体" w:hAnsi="宋体" w:eastAsia="宋体" w:cs="宋体"/>
          <w:spacing w:val="20"/>
          <w:sz w:val="24"/>
          <w:szCs w:val="24"/>
        </w:rPr>
      </w:pPr>
      <w:r>
        <w:rPr>
          <w:rFonts w:hint="eastAsia" w:ascii="宋体" w:hAnsi="宋体" w:eastAsia="宋体" w:cs="宋体"/>
          <w:sz w:val="24"/>
          <w:szCs w:val="24"/>
        </w:rPr>
        <w:t>FNPV(</w:t>
      </w:r>
      <w:r>
        <w:rPr>
          <w:rFonts w:hint="eastAsia" w:ascii="宋体" w:hAnsi="宋体" w:eastAsia="宋体" w:cs="宋体"/>
          <w:spacing w:val="20"/>
          <w:sz w:val="24"/>
          <w:szCs w:val="24"/>
        </w:rPr>
        <w:t>Ic=12%):</w:t>
      </w:r>
      <w:r>
        <w:rPr>
          <w:rFonts w:hint="eastAsia" w:ascii="宋体" w:hAnsi="宋体" w:eastAsia="宋体" w:cs="宋体"/>
          <w:kern w:val="0"/>
          <w:sz w:val="24"/>
          <w:szCs w:val="24"/>
        </w:rPr>
        <w:t>所得税后21698.70万元，税前为28252.31万元,均</w:t>
      </w:r>
      <w:r>
        <w:rPr>
          <w:rFonts w:hint="eastAsia" w:ascii="宋体" w:hAnsi="宋体" w:eastAsia="宋体" w:cs="宋体"/>
          <w:spacing w:val="20"/>
          <w:sz w:val="24"/>
          <w:szCs w:val="24"/>
        </w:rPr>
        <w:t>大于零,项目可行。</w:t>
      </w:r>
    </w:p>
    <w:p>
      <w:pPr>
        <w:spacing w:line="240" w:lineRule="auto"/>
        <w:ind w:left="0" w:leftChars="0" w:firstLine="629" w:firstLineChars="196"/>
        <w:outlineLvl w:val="0"/>
        <w:rPr>
          <w:rFonts w:hint="eastAsia" w:ascii="微软雅黑" w:hAnsi="微软雅黑" w:eastAsia="微软雅黑" w:cs="微软雅黑"/>
          <w:b/>
          <w:spacing w:val="20"/>
          <w:sz w:val="24"/>
          <w:szCs w:val="24"/>
        </w:rPr>
      </w:pPr>
      <w:bookmarkStart w:id="14" w:name="_Toc450834753"/>
      <w:bookmarkStart w:id="15" w:name="_Toc450898292"/>
      <w:bookmarkStart w:id="16" w:name="_Toc451111645"/>
      <w:bookmarkStart w:id="17" w:name="_Toc451110869"/>
      <w:r>
        <w:rPr>
          <w:rFonts w:hint="eastAsia" w:ascii="微软雅黑" w:hAnsi="微软雅黑" w:eastAsia="微软雅黑" w:cs="微软雅黑"/>
          <w:b/>
          <w:spacing w:val="20"/>
          <w:sz w:val="24"/>
          <w:szCs w:val="24"/>
        </w:rPr>
        <w:t>②、项目财务内部收益率（</w:t>
      </w:r>
      <w:r>
        <w:rPr>
          <w:rFonts w:hint="eastAsia" w:ascii="微软雅黑" w:hAnsi="微软雅黑" w:eastAsia="微软雅黑" w:cs="微软雅黑"/>
          <w:b/>
          <w:bCs/>
          <w:sz w:val="24"/>
          <w:szCs w:val="24"/>
        </w:rPr>
        <w:t>FIRR</w:t>
      </w:r>
      <w:r>
        <w:rPr>
          <w:rFonts w:hint="eastAsia" w:ascii="微软雅黑" w:hAnsi="微软雅黑" w:eastAsia="微软雅黑" w:cs="微软雅黑"/>
          <w:b/>
          <w:spacing w:val="20"/>
          <w:sz w:val="24"/>
          <w:szCs w:val="24"/>
        </w:rPr>
        <w:t>）计算</w:t>
      </w:r>
      <w:bookmarkEnd w:id="14"/>
      <w:bookmarkEnd w:id="15"/>
      <w:bookmarkEnd w:id="16"/>
      <w:bookmarkEnd w:id="17"/>
    </w:p>
    <w:p>
      <w:pPr>
        <w:spacing w:line="240" w:lineRule="auto"/>
        <w:ind w:left="0" w:leftChars="0" w:firstLine="480"/>
        <w:outlineLvl w:val="0"/>
        <w:rPr>
          <w:rFonts w:hint="eastAsia" w:ascii="宋体" w:hAnsi="宋体" w:eastAsia="宋体" w:cs="宋体"/>
          <w:spacing w:val="20"/>
          <w:sz w:val="24"/>
          <w:szCs w:val="24"/>
        </w:rPr>
      </w:pPr>
      <w:bookmarkStart w:id="18" w:name="_Toc451111646"/>
      <w:bookmarkStart w:id="19" w:name="_Toc450898293"/>
      <w:bookmarkStart w:id="20" w:name="_Toc450834754"/>
      <w:bookmarkStart w:id="21" w:name="_Toc451110870"/>
      <w:r>
        <w:rPr>
          <w:rFonts w:hint="eastAsia" w:ascii="宋体" w:hAnsi="宋体" w:eastAsia="宋体" w:cs="宋体"/>
          <w:sz w:val="24"/>
          <w:szCs w:val="24"/>
        </w:rPr>
        <w:drawing>
          <wp:anchor distT="0" distB="0" distL="114300" distR="114300" simplePos="0" relativeHeight="251698176" behindDoc="1" locked="0" layoutInCell="1" allowOverlap="1">
            <wp:simplePos x="0" y="0"/>
            <wp:positionH relativeFrom="column">
              <wp:posOffset>948690</wp:posOffset>
            </wp:positionH>
            <wp:positionV relativeFrom="paragraph">
              <wp:posOffset>281940</wp:posOffset>
            </wp:positionV>
            <wp:extent cx="2105025" cy="506095"/>
            <wp:effectExtent l="0" t="0" r="0" b="0"/>
            <wp:wrapTight wrapText="bothSides">
              <wp:wrapPolygon>
                <wp:start x="2737" y="1626"/>
                <wp:lineTo x="2346" y="5691"/>
                <wp:lineTo x="2150" y="18700"/>
                <wp:lineTo x="4105" y="18700"/>
                <wp:lineTo x="4300" y="17074"/>
                <wp:lineTo x="21307" y="12196"/>
                <wp:lineTo x="21307" y="4878"/>
                <wp:lineTo x="3714" y="1626"/>
                <wp:lineTo x="2737" y="1626"/>
              </wp:wrapPolygon>
            </wp:wrapTight>
            <wp:docPr id="4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1"/>
                    <pic:cNvPicPr>
                      <a:picLocks noChangeAspect="1"/>
                    </pic:cNvPicPr>
                  </pic:nvPicPr>
                  <pic:blipFill>
                    <a:blip r:embed="rId5"/>
                    <a:srcRect l="19048" b="-15508"/>
                    <a:stretch>
                      <a:fillRect/>
                    </a:stretch>
                  </pic:blipFill>
                  <pic:spPr>
                    <a:xfrm>
                      <a:off x="0" y="0"/>
                      <a:ext cx="2105025" cy="506095"/>
                    </a:xfrm>
                    <a:prstGeom prst="rect">
                      <a:avLst/>
                    </a:prstGeom>
                    <a:noFill/>
                    <a:ln w="9525">
                      <a:noFill/>
                      <a:miter/>
                    </a:ln>
                  </pic:spPr>
                </pic:pic>
              </a:graphicData>
            </a:graphic>
          </wp:anchor>
        </w:drawing>
      </w:r>
      <w:r>
        <w:rPr>
          <w:rFonts w:hint="eastAsia" w:ascii="宋体" w:hAnsi="宋体" w:eastAsia="宋体" w:cs="宋体"/>
          <w:spacing w:val="20"/>
          <w:sz w:val="24"/>
          <w:szCs w:val="24"/>
        </w:rPr>
        <w:t>依据:</w:t>
      </w:r>
      <w:bookmarkEnd w:id="18"/>
      <w:bookmarkEnd w:id="19"/>
      <w:bookmarkEnd w:id="20"/>
      <w:bookmarkEnd w:id="21"/>
    </w:p>
    <w:p>
      <w:pPr>
        <w:spacing w:line="240" w:lineRule="auto"/>
        <w:ind w:left="0" w:leftChars="0" w:firstLine="560"/>
        <w:jc w:val="left"/>
        <w:outlineLvl w:val="0"/>
        <w:rPr>
          <w:rFonts w:hint="eastAsia" w:ascii="宋体" w:hAnsi="宋体" w:eastAsia="宋体" w:cs="宋体"/>
          <w:kern w:val="0"/>
          <w:sz w:val="24"/>
          <w:szCs w:val="24"/>
        </w:rPr>
      </w:pPr>
      <w:bookmarkStart w:id="22" w:name="_Toc450898294"/>
      <w:bookmarkStart w:id="23" w:name="_Toc451111647"/>
      <w:bookmarkStart w:id="24" w:name="_Toc451110871"/>
      <w:bookmarkStart w:id="25" w:name="_Toc450834755"/>
      <w:r>
        <w:rPr>
          <w:rFonts w:hint="eastAsia" w:ascii="宋体" w:hAnsi="宋体" w:eastAsia="宋体" w:cs="宋体"/>
          <w:bCs/>
          <w:sz w:val="24"/>
          <w:szCs w:val="24"/>
        </w:rPr>
        <w:t>FIRR＝</w:t>
      </w:r>
      <w:r>
        <w:rPr>
          <w:rFonts w:hint="eastAsia" w:ascii="宋体" w:hAnsi="宋体" w:eastAsia="宋体" w:cs="宋体"/>
          <w:bCs/>
          <w:color w:val="C00000"/>
          <w:sz w:val="24"/>
          <w:szCs w:val="24"/>
        </w:rPr>
        <w:t>251.32%</w:t>
      </w:r>
      <w:r>
        <w:rPr>
          <w:rFonts w:hint="eastAsia" w:ascii="宋体" w:hAnsi="宋体" w:eastAsia="宋体" w:cs="宋体"/>
          <w:spacing w:val="20"/>
          <w:sz w:val="24"/>
          <w:szCs w:val="24"/>
        </w:rPr>
        <w:t>(</w:t>
      </w:r>
      <w:r>
        <w:rPr>
          <w:rFonts w:hint="eastAsia" w:ascii="宋体" w:hAnsi="宋体" w:eastAsia="宋体" w:cs="宋体"/>
          <w:kern w:val="0"/>
          <w:sz w:val="24"/>
          <w:szCs w:val="24"/>
        </w:rPr>
        <w:t>所得税后)。同理,税前</w:t>
      </w:r>
      <w:r>
        <w:rPr>
          <w:rFonts w:hint="eastAsia" w:ascii="宋体" w:hAnsi="宋体" w:eastAsia="宋体" w:cs="宋体"/>
          <w:bCs/>
          <w:sz w:val="24"/>
          <w:szCs w:val="24"/>
        </w:rPr>
        <w:t>FIRR=</w:t>
      </w:r>
      <w:bookmarkEnd w:id="22"/>
      <w:bookmarkEnd w:id="23"/>
      <w:bookmarkEnd w:id="24"/>
      <w:bookmarkEnd w:id="25"/>
      <w:r>
        <w:rPr>
          <w:rFonts w:hint="eastAsia" w:ascii="宋体" w:hAnsi="宋体" w:eastAsia="宋体" w:cs="宋体"/>
          <w:color w:val="C00000"/>
          <w:kern w:val="0"/>
          <w:sz w:val="24"/>
          <w:szCs w:val="24"/>
        </w:rPr>
        <w:t>396.55%</w:t>
      </w:r>
    </w:p>
    <w:p>
      <w:pPr>
        <w:spacing w:line="240" w:lineRule="auto"/>
        <w:ind w:left="0" w:leftChars="0" w:firstLine="560" w:firstLineChars="200"/>
        <w:rPr>
          <w:rFonts w:hint="eastAsia" w:ascii="宋体" w:hAnsi="宋体" w:eastAsia="宋体" w:cs="宋体"/>
          <w:sz w:val="24"/>
          <w:szCs w:val="24"/>
        </w:rPr>
      </w:pPr>
      <w:bookmarkStart w:id="26" w:name="_Toc450898295"/>
      <w:bookmarkStart w:id="27" w:name="_Toc451110872"/>
      <w:bookmarkStart w:id="28" w:name="_Toc451111648"/>
      <w:bookmarkStart w:id="29" w:name="_Toc450834756"/>
      <w:r>
        <w:rPr>
          <w:rFonts w:hint="eastAsia" w:ascii="宋体" w:hAnsi="宋体" w:eastAsia="宋体" w:cs="宋体"/>
          <w:sz w:val="24"/>
          <w:szCs w:val="24"/>
        </w:rPr>
        <w:t>经查国家最新规定的工程机械行业基准收益率平均为12%,专家调查结果为10-12%。本项目的FIRR明显大于行业基准收益率平均值,说明项目可行,且经济效益较好、偿债能力较强。</w:t>
      </w:r>
      <w:bookmarkEnd w:id="26"/>
      <w:bookmarkEnd w:id="27"/>
      <w:bookmarkEnd w:id="28"/>
      <w:bookmarkEnd w:id="29"/>
    </w:p>
    <w:p>
      <w:pPr>
        <w:spacing w:line="240" w:lineRule="auto"/>
        <w:ind w:left="0" w:leftChars="0" w:firstLine="472" w:firstLineChars="147"/>
        <w:outlineLvl w:val="0"/>
        <w:rPr>
          <w:rFonts w:hint="eastAsia" w:ascii="微软雅黑" w:hAnsi="微软雅黑" w:eastAsia="微软雅黑" w:cs="微软雅黑"/>
          <w:b/>
          <w:spacing w:val="20"/>
          <w:sz w:val="24"/>
          <w:szCs w:val="24"/>
        </w:rPr>
      </w:pPr>
      <w:bookmarkStart w:id="30" w:name="_Toc450834757"/>
      <w:bookmarkStart w:id="31" w:name="_Toc450898296"/>
      <w:bookmarkStart w:id="32" w:name="_Toc451110873"/>
      <w:bookmarkStart w:id="33" w:name="_Toc451111649"/>
      <w:r>
        <w:rPr>
          <w:rFonts w:hint="eastAsia" w:ascii="微软雅黑" w:hAnsi="微软雅黑" w:eastAsia="微软雅黑" w:cs="微软雅黑"/>
          <w:b/>
          <w:spacing w:val="20"/>
          <w:sz w:val="24"/>
          <w:szCs w:val="24"/>
        </w:rPr>
        <w:t>③、项目投资回收期计算</w:t>
      </w:r>
      <w:bookmarkEnd w:id="30"/>
      <w:bookmarkEnd w:id="31"/>
      <w:bookmarkEnd w:id="32"/>
      <w:bookmarkEnd w:id="33"/>
    </w:p>
    <w:p>
      <w:pPr>
        <w:spacing w:line="240" w:lineRule="auto"/>
        <w:ind w:left="0" w:leftChars="0" w:firstLine="480" w:firstLineChars="150"/>
        <w:outlineLvl w:val="0"/>
        <w:rPr>
          <w:rFonts w:hint="eastAsia" w:ascii="宋体" w:hAnsi="宋体" w:eastAsia="宋体" w:cs="宋体"/>
          <w:spacing w:val="20"/>
          <w:sz w:val="24"/>
          <w:szCs w:val="24"/>
        </w:rPr>
      </w:pPr>
      <w:bookmarkStart w:id="34" w:name="_Toc450898297"/>
      <w:bookmarkStart w:id="35" w:name="_Toc451110874"/>
      <w:bookmarkStart w:id="36" w:name="_Toc451111650"/>
      <w:bookmarkStart w:id="37" w:name="_Toc450834758"/>
      <w:r>
        <w:rPr>
          <w:rFonts w:hint="eastAsia" w:ascii="宋体" w:hAnsi="宋体" w:eastAsia="宋体" w:cs="宋体"/>
          <w:spacing w:val="20"/>
          <w:sz w:val="24"/>
          <w:szCs w:val="24"/>
        </w:rPr>
        <w:t>投资回收期计算公式:</w:t>
      </w:r>
      <w:bookmarkEnd w:id="34"/>
      <w:bookmarkEnd w:id="35"/>
      <w:bookmarkEnd w:id="36"/>
      <w:bookmarkEnd w:id="37"/>
    </w:p>
    <w:p>
      <w:pPr>
        <w:spacing w:line="240" w:lineRule="auto"/>
        <w:ind w:left="0" w:leftChars="0" w:firstLine="420" w:firstLineChars="150"/>
        <w:outlineLvl w:val="0"/>
        <w:rPr>
          <w:rFonts w:hint="eastAsia" w:ascii="宋体" w:hAnsi="宋体" w:eastAsia="宋体" w:cs="宋体"/>
          <w:spacing w:val="20"/>
          <w:sz w:val="24"/>
          <w:szCs w:val="24"/>
        </w:rPr>
      </w:pPr>
      <w:r>
        <w:rPr>
          <w:rFonts w:hint="eastAsia" w:ascii="宋体" w:hAnsi="宋体" w:eastAsia="宋体" w:cs="宋体"/>
          <w:sz w:val="24"/>
          <w:szCs w:val="24"/>
        </w:rPr>
        <w:drawing>
          <wp:anchor distT="0" distB="0" distL="114300" distR="114300" simplePos="0" relativeHeight="251701248" behindDoc="1" locked="0" layoutInCell="1" allowOverlap="1">
            <wp:simplePos x="0" y="0"/>
            <wp:positionH relativeFrom="column">
              <wp:posOffset>179070</wp:posOffset>
            </wp:positionH>
            <wp:positionV relativeFrom="paragraph">
              <wp:posOffset>228600</wp:posOffset>
            </wp:positionV>
            <wp:extent cx="1533525" cy="741045"/>
            <wp:effectExtent l="0" t="0" r="7620" b="0"/>
            <wp:wrapTight wrapText="bothSides">
              <wp:wrapPolygon>
                <wp:start x="5903" y="1666"/>
                <wp:lineTo x="4830" y="20545"/>
                <wp:lineTo x="8855" y="20545"/>
                <wp:lineTo x="21466" y="12216"/>
                <wp:lineTo x="21466" y="8884"/>
                <wp:lineTo x="8318" y="1666"/>
                <wp:lineTo x="5903" y="1666"/>
              </wp:wrapPolygon>
            </wp:wrapTight>
            <wp:docPr id="4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9"/>
                    <pic:cNvPicPr>
                      <a:picLocks noChangeAspect="1"/>
                    </pic:cNvPicPr>
                  </pic:nvPicPr>
                  <pic:blipFill>
                    <a:blip r:embed="rId6"/>
                    <a:srcRect r="78334"/>
                    <a:stretch>
                      <a:fillRect/>
                    </a:stretch>
                  </pic:blipFill>
                  <pic:spPr>
                    <a:xfrm>
                      <a:off x="0" y="0"/>
                      <a:ext cx="1533525" cy="741045"/>
                    </a:xfrm>
                    <a:prstGeom prst="rect">
                      <a:avLst/>
                    </a:prstGeom>
                    <a:noFill/>
                    <a:ln w="9525">
                      <a:noFill/>
                      <a:miter/>
                    </a:ln>
                  </pic:spPr>
                </pic:pic>
              </a:graphicData>
            </a:graphic>
          </wp:anchor>
        </w:drawing>
      </w:r>
    </w:p>
    <w:p>
      <w:pPr>
        <w:spacing w:line="240" w:lineRule="auto"/>
        <w:ind w:left="0" w:leftChars="0" w:firstLine="480" w:firstLineChars="150"/>
        <w:outlineLvl w:val="0"/>
        <w:rPr>
          <w:rFonts w:hint="eastAsia" w:ascii="宋体" w:hAnsi="宋体" w:eastAsia="宋体" w:cs="宋体"/>
          <w:spacing w:val="20"/>
          <w:sz w:val="24"/>
          <w:szCs w:val="24"/>
        </w:rPr>
      </w:pPr>
    </w:p>
    <w:p>
      <w:pPr>
        <w:spacing w:line="240" w:lineRule="auto"/>
        <w:ind w:left="0" w:leftChars="0"/>
        <w:rPr>
          <w:rFonts w:hint="eastAsia" w:ascii="宋体" w:hAnsi="宋体" w:eastAsia="宋体" w:cs="宋体"/>
          <w:sz w:val="24"/>
          <w:szCs w:val="24"/>
        </w:rPr>
      </w:pP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从本项目现金流量表可得:Pt=（累计净现金流量开始出现正值年份数）-1+（上年累计净现金流量的绝对值/当年净现金流量）=1.56年(所得税后)，同理1.31年(所得税前)。</w:t>
      </w:r>
    </w:p>
    <w:p>
      <w:pPr>
        <w:spacing w:line="240" w:lineRule="auto"/>
        <w:ind w:left="0" w:leftChars="0" w:firstLine="610" w:firstLineChars="217"/>
        <w:outlineLvl w:val="0"/>
        <w:rPr>
          <w:rFonts w:hint="eastAsia" w:ascii="微软雅黑" w:hAnsi="微软雅黑" w:eastAsia="微软雅黑" w:cs="微软雅黑"/>
          <w:b/>
          <w:sz w:val="24"/>
          <w:szCs w:val="24"/>
        </w:rPr>
      </w:pPr>
      <w:bookmarkStart w:id="38" w:name="_Toc451111651"/>
      <w:bookmarkStart w:id="39" w:name="_Toc450834759"/>
      <w:bookmarkStart w:id="40" w:name="_Toc451110875"/>
      <w:bookmarkStart w:id="41" w:name="_Toc450898298"/>
      <w:r>
        <w:rPr>
          <w:rFonts w:hint="eastAsia" w:ascii="微软雅黑" w:hAnsi="微软雅黑" w:eastAsia="微软雅黑" w:cs="微软雅黑"/>
          <w:b/>
          <w:sz w:val="24"/>
          <w:szCs w:val="24"/>
        </w:rPr>
        <w:t>7、不确定性因素分析</w:t>
      </w:r>
      <w:bookmarkEnd w:id="38"/>
      <w:bookmarkEnd w:id="39"/>
      <w:bookmarkEnd w:id="40"/>
      <w:bookmarkEnd w:id="41"/>
    </w:p>
    <w:p>
      <w:pPr>
        <w:spacing w:line="240" w:lineRule="auto"/>
        <w:ind w:left="0" w:leftChars="0" w:firstLine="562"/>
        <w:rPr>
          <w:rFonts w:hint="eastAsia" w:ascii="微软雅黑" w:hAnsi="微软雅黑" w:eastAsia="微软雅黑" w:cs="微软雅黑"/>
          <w:b/>
          <w:bCs/>
          <w:kern w:val="0"/>
          <w:sz w:val="24"/>
          <w:szCs w:val="24"/>
        </w:rPr>
      </w:pPr>
      <w:r>
        <w:rPr>
          <w:rFonts w:hint="eastAsia" w:ascii="微软雅黑" w:hAnsi="微软雅黑" w:eastAsia="微软雅黑" w:cs="微软雅黑"/>
          <w:b/>
          <w:sz w:val="24"/>
          <w:szCs w:val="24"/>
        </w:rPr>
        <w:t>（1）</w:t>
      </w:r>
      <w:r>
        <w:rPr>
          <w:rFonts w:hint="eastAsia" w:ascii="微软雅黑" w:hAnsi="微软雅黑" w:eastAsia="微软雅黑" w:cs="微软雅黑"/>
          <w:b/>
          <w:bCs/>
          <w:kern w:val="0"/>
          <w:sz w:val="24"/>
          <w:szCs w:val="24"/>
        </w:rPr>
        <w:t>盈亏平衡分析</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盈亏平衡点测算基础数据：本项目年销售收入19100万元，年销售税金1585.71万元，年均固定成本2986.74万元。</w:t>
      </w:r>
    </w:p>
    <w:p>
      <w:pPr>
        <w:spacing w:line="240" w:lineRule="auto"/>
        <w:ind w:left="0" w:leftChars="0" w:firstLine="562"/>
        <w:rPr>
          <w:rFonts w:hint="eastAsia" w:ascii="微软雅黑" w:hAnsi="微软雅黑" w:eastAsia="微软雅黑" w:cs="微软雅黑"/>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 1 \* GB3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zh-CN"/>
        </w:rPr>
        <w:t>①</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t>、盈亏平衡点(生产能力)</w:t>
      </w:r>
    </w:p>
    <w:p>
      <w:pPr>
        <w:spacing w:line="240" w:lineRule="auto"/>
        <w:ind w:left="0" w:leftChars="0" w:firstLine="560" w:firstLineChars="200"/>
        <w:rPr>
          <w:rFonts w:hint="eastAsia" w:ascii="微软雅黑" w:hAnsi="微软雅黑" w:eastAsia="微软雅黑" w:cs="微软雅黑"/>
          <w:sz w:val="24"/>
          <w:szCs w:val="24"/>
        </w:rPr>
      </w:pPr>
      <w:r>
        <w:rPr>
          <w:rFonts w:hint="eastAsia" w:ascii="宋体" w:hAnsi="宋体" w:eastAsia="宋体" w:cs="宋体"/>
          <w:sz w:val="24"/>
          <w:szCs w:val="24"/>
        </w:rPr>
        <w:t>盈亏平衡点(生产能力)=年固定成本/(年销售收入-年可变总成本-流转税及附加)= 51.44%。即项目生产能力达到51.44%时，企业不赢不亏，表明项目具有较强的抗风险能力。</w:t>
      </w:r>
    </w:p>
    <w:p>
      <w:pPr>
        <w:spacing w:line="240" w:lineRule="auto"/>
        <w:ind w:left="0" w:leftChars="0" w:firstLine="562"/>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fldChar w:fldCharType="begin"/>
      </w:r>
      <w:r>
        <w:rPr>
          <w:rFonts w:hint="eastAsia" w:ascii="微软雅黑" w:hAnsi="微软雅黑" w:eastAsia="微软雅黑" w:cs="微软雅黑"/>
          <w:b/>
          <w:sz w:val="24"/>
          <w:szCs w:val="24"/>
        </w:rPr>
        <w:instrText xml:space="preserve"> = 2 \* GB3 </w:instrText>
      </w:r>
      <w:r>
        <w:rPr>
          <w:rFonts w:hint="eastAsia" w:ascii="微软雅黑" w:hAnsi="微软雅黑" w:eastAsia="微软雅黑" w:cs="微软雅黑"/>
          <w:b/>
          <w:sz w:val="24"/>
          <w:szCs w:val="24"/>
        </w:rPr>
        <w:fldChar w:fldCharType="separate"/>
      </w:r>
      <w:r>
        <w:rPr>
          <w:rFonts w:hint="eastAsia" w:ascii="微软雅黑" w:hAnsi="微软雅黑" w:eastAsia="微软雅黑" w:cs="微软雅黑"/>
          <w:b/>
          <w:sz w:val="24"/>
          <w:szCs w:val="24"/>
          <w:lang w:val="zh-CN"/>
        </w:rPr>
        <w:t>②</w:t>
      </w:r>
      <w:r>
        <w:rPr>
          <w:rFonts w:hint="eastAsia" w:ascii="微软雅黑" w:hAnsi="微软雅黑" w:eastAsia="微软雅黑" w:cs="微软雅黑"/>
          <w:b/>
          <w:sz w:val="24"/>
          <w:szCs w:val="24"/>
        </w:rPr>
        <w:fldChar w:fldCharType="end"/>
      </w:r>
      <w:r>
        <w:rPr>
          <w:rFonts w:hint="eastAsia" w:ascii="微软雅黑" w:hAnsi="微软雅黑" w:eastAsia="微软雅黑" w:cs="微软雅黑"/>
          <w:b/>
          <w:sz w:val="24"/>
          <w:szCs w:val="24"/>
        </w:rPr>
        <w:t>、经营安全幅度率</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经营安全幅度率测算:安全幅度率=48.56%＞40%，项目属超安全。</w:t>
      </w:r>
    </w:p>
    <w:p>
      <w:pPr>
        <w:spacing w:line="240" w:lineRule="auto"/>
        <w:ind w:left="0" w:leftChars="0" w:firstLine="562"/>
        <w:jc w:val="left"/>
        <w:rPr>
          <w:rFonts w:hint="eastAsia" w:ascii="宋体" w:hAnsi="宋体" w:eastAsia="宋体" w:cs="宋体"/>
          <w:b/>
          <w:sz w:val="24"/>
          <w:szCs w:val="24"/>
        </w:rPr>
      </w:pPr>
    </w:p>
    <w:p>
      <w:pPr>
        <w:spacing w:line="240" w:lineRule="auto"/>
        <w:ind w:left="0" w:leftChars="0" w:firstLine="560"/>
        <w:rPr>
          <w:rFonts w:hint="eastAsia" w:ascii="宋体" w:hAnsi="宋体" w:eastAsia="宋体" w:cs="宋体"/>
          <w:sz w:val="24"/>
          <w:szCs w:val="24"/>
        </w:rPr>
      </w:pPr>
      <w:r>
        <w:rPr>
          <w:rFonts w:hint="eastAsia" w:ascii="宋体" w:hAnsi="宋体" w:eastAsia="宋体" w:cs="宋体"/>
          <w:sz w:val="24"/>
          <w:szCs w:val="24"/>
        </w:rPr>
        <w:t>成本和销售价格对企业财务净现值（NPV）影响特别明显。但当销售价格和原料成本呈同方向变化时，对上述指标的影响也不大，也就是说，在产品价格降低，原料价格同时降低或原料价格上涨，产品价格也同时升高时对企业盈利能力的影响较小。根据本行业的特点，在绝大多数的情况下，产品售价和原料价格呈同方向变化，因此，本项目的投资风险较小。</w:t>
      </w:r>
    </w:p>
    <w:p>
      <w:pPr>
        <w:spacing w:line="240" w:lineRule="auto"/>
        <w:ind w:left="0" w:leftChars="0" w:firstLine="560" w:firstLineChars="200"/>
        <w:rPr>
          <w:rFonts w:hint="eastAsia" w:ascii="宋体" w:hAnsi="宋体" w:eastAsia="宋体" w:cs="宋体"/>
          <w:kern w:val="0"/>
          <w:sz w:val="24"/>
          <w:szCs w:val="24"/>
        </w:rPr>
      </w:pPr>
      <w:r>
        <w:rPr>
          <w:rFonts w:hint="eastAsia" w:ascii="宋体" w:hAnsi="宋体" w:eastAsia="宋体" w:cs="宋体"/>
          <w:sz w:val="24"/>
          <w:szCs w:val="24"/>
        </w:rPr>
        <w:t>因此，三个因素的敏感性由强到弱的排序依次为：销售收入、生产成本和投资额。</w:t>
      </w:r>
    </w:p>
    <w:p>
      <w:pPr>
        <w:pStyle w:val="2"/>
        <w:spacing w:before="0" w:after="0" w:line="240" w:lineRule="auto"/>
        <w:ind w:left="0" w:leftChars="0"/>
        <w:rPr>
          <w:rFonts w:hint="eastAsia" w:ascii="微软雅黑" w:hAnsi="微软雅黑" w:eastAsia="微软雅黑" w:cs="微软雅黑"/>
          <w:sz w:val="24"/>
          <w:szCs w:val="24"/>
        </w:rPr>
      </w:pPr>
      <w:bookmarkStart w:id="42" w:name="_Toc451111652"/>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、财务评价结论</w:t>
      </w:r>
      <w:bookmarkEnd w:id="42"/>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本项目所得税前项目投资财务内部收益率为23.48%，所得税后项目投资财务内部收益率为26.53%，项目具有较好的盈利能力。项目计算期内各年现金流入均大于现金流出，具备较好的财务生存能力。用生产能力利用率表现的盈亏平衡点为48.56%，具有较强的适应能力和抗风险能力。综合分析，项目从财务</w:t>
      </w:r>
      <w:bookmarkStart w:id="43" w:name="_Toc15202011"/>
      <w:r>
        <w:rPr>
          <w:rFonts w:hint="eastAsia" w:ascii="宋体" w:hAnsi="宋体" w:eastAsia="宋体" w:cs="宋体"/>
          <w:sz w:val="24"/>
          <w:szCs w:val="24"/>
        </w:rPr>
        <w:t>角度评价是可行的。</w:t>
      </w:r>
    </w:p>
    <w:p>
      <w:pPr>
        <w:spacing w:line="240" w:lineRule="auto"/>
        <w:ind w:left="0" w:leftChars="0"/>
        <w:rPr>
          <w:rFonts w:hint="eastAsia" w:ascii="微软雅黑" w:hAnsi="微软雅黑" w:eastAsia="微软雅黑" w:cs="微软雅黑"/>
          <w:sz w:val="24"/>
          <w:szCs w:val="24"/>
          <w:lang w:val="en-US" w:eastAsia="zh-CN"/>
        </w:rPr>
      </w:pPr>
    </w:p>
    <w:p>
      <w:pPr>
        <w:spacing w:line="240" w:lineRule="auto"/>
        <w:ind w:left="0" w:leftChars="0"/>
        <w:jc w:val="both"/>
        <w:rPr>
          <w:rFonts w:hint="eastAsia" w:eastAsia="宋体"/>
          <w:b/>
          <w:bCs/>
          <w:sz w:val="28"/>
          <w:szCs w:val="32"/>
          <w:lang w:val="en-US" w:eastAsia="zh-CN"/>
        </w:rPr>
      </w:pPr>
      <w:r>
        <w:rPr>
          <w:rFonts w:hint="eastAsia"/>
          <w:b/>
          <w:bCs/>
          <w:sz w:val="28"/>
          <w:szCs w:val="32"/>
          <w:lang w:val="en-US" w:eastAsia="zh-CN"/>
        </w:rPr>
        <w:t>企业融资简介</w:t>
      </w:r>
    </w:p>
    <w:p>
      <w:pPr>
        <w:pStyle w:val="2"/>
        <w:spacing w:before="0" w:after="0" w:line="240" w:lineRule="auto"/>
        <w:ind w:left="0" w:leftChars="0"/>
        <w:rPr>
          <w:rFonts w:hint="eastAsia" w:ascii="微软雅黑" w:hAnsi="微软雅黑" w:eastAsia="微软雅黑" w:cs="微软雅黑"/>
          <w:sz w:val="24"/>
          <w:szCs w:val="24"/>
        </w:rPr>
      </w:pPr>
      <w:bookmarkStart w:id="44" w:name="_Toc449649722"/>
      <w:r>
        <w:rPr>
          <w:rFonts w:hint="eastAsia" w:ascii="微软雅黑" w:hAnsi="微软雅黑" w:eastAsia="微软雅黑" w:cs="微软雅黑"/>
          <w:sz w:val="24"/>
          <w:szCs w:val="24"/>
        </w:rPr>
        <w:t>1 融资项目概况</w:t>
      </w:r>
      <w:bookmarkEnd w:id="44"/>
    </w:p>
    <w:p>
      <w:pPr>
        <w:spacing w:line="240" w:lineRule="auto"/>
        <w:ind w:left="0" w:leftChars="0" w:firstLine="560" w:firstLineChars="200"/>
        <w:rPr>
          <w:rFonts w:hint="eastAsia" w:ascii="宋体" w:hAnsi="宋体" w:eastAsia="宋体" w:cs="宋体"/>
          <w:sz w:val="24"/>
          <w:szCs w:val="24"/>
          <w:lang w:val="en-US" w:eastAsia="zh-CN"/>
        </w:rPr>
      </w:pPr>
      <w:r>
        <w:rPr>
          <w:rFonts w:hint="eastAsia" w:ascii="宋体" w:hAnsi="宋体" w:eastAsia="宋体" w:cs="宋体"/>
          <w:sz w:val="24"/>
          <w:szCs w:val="24"/>
        </w:rPr>
        <w:t>此次融资将主要</w:t>
      </w:r>
      <w:r>
        <w:rPr>
          <w:rFonts w:hint="eastAsia" w:ascii="宋体" w:hAnsi="宋体" w:eastAsia="宋体" w:cs="宋体"/>
          <w:sz w:val="24"/>
          <w:szCs w:val="24"/>
          <w:lang w:val="en-US" w:eastAsia="zh-CN"/>
        </w:rPr>
        <w:t>来源于两方面</w:t>
      </w:r>
    </w:p>
    <w:p>
      <w:pPr>
        <w:spacing w:beforeLines="50" w:afterLines="50"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）申请成长性企业股权投资1,500万元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释放20%股权</w:t>
      </w:r>
      <w:r>
        <w:rPr>
          <w:rFonts w:hint="eastAsia" w:ascii="宋体" w:hAnsi="宋体" w:eastAsia="宋体" w:cs="宋体"/>
          <w:sz w:val="24"/>
          <w:szCs w:val="24"/>
        </w:rPr>
        <w:t>。</w:t>
      </w:r>
    </w:p>
    <w:p>
      <w:pPr>
        <w:spacing w:beforeLines="50" w:afterLines="50"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科技鉴定报告（正在进行）出具后</w:t>
      </w:r>
      <w:r>
        <w:rPr>
          <w:rFonts w:hint="eastAsia" w:ascii="宋体" w:hAnsi="宋体" w:eastAsia="宋体" w:cs="宋体"/>
          <w:sz w:val="24"/>
          <w:szCs w:val="24"/>
        </w:rPr>
        <w:t>申请政府</w:t>
      </w:r>
      <w:r>
        <w:rPr>
          <w:rFonts w:hint="eastAsia" w:ascii="宋体" w:hAnsi="宋体" w:eastAsia="宋体" w:cs="宋体"/>
          <w:sz w:val="24"/>
          <w:szCs w:val="24"/>
          <w:lang w:val="en-US" w:eastAsia="zh-CN"/>
        </w:rPr>
        <w:t>支持</w:t>
      </w:r>
      <w:r>
        <w:rPr>
          <w:rFonts w:hint="eastAsia" w:ascii="宋体" w:hAnsi="宋体" w:eastAsia="宋体" w:cs="宋体"/>
          <w:sz w:val="24"/>
          <w:szCs w:val="24"/>
        </w:rPr>
        <w:t>技改资金</w:t>
      </w:r>
      <w:r>
        <w:rPr>
          <w:rFonts w:hint="eastAsia" w:ascii="宋体" w:hAnsi="宋体" w:eastAsia="宋体" w:cs="宋体"/>
          <w:sz w:val="24"/>
          <w:szCs w:val="24"/>
          <w:lang w:val="en-US" w:eastAsia="zh-CN"/>
        </w:rPr>
        <w:t>/资源</w:t>
      </w:r>
      <w:r>
        <w:rPr>
          <w:rFonts w:hint="eastAsia" w:ascii="宋体" w:hAnsi="宋体" w:eastAsia="宋体" w:cs="宋体"/>
          <w:sz w:val="24"/>
          <w:szCs w:val="24"/>
        </w:rPr>
        <w:t>2000万。</w:t>
      </w:r>
    </w:p>
    <w:p>
      <w:pPr>
        <w:spacing w:line="240" w:lineRule="auto"/>
        <w:ind w:left="0" w:leftChars="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2目前接触机构</w:t>
      </w:r>
    </w:p>
    <w:p>
      <w:pPr>
        <w:spacing w:line="240" w:lineRule="auto"/>
        <w:ind w:left="0" w:leftChars="0"/>
        <w:rPr>
          <w:rFonts w:hint="eastAsia" w:ascii="宋体" w:hAnsi="宋体" w:eastAsia="宋体" w:cs="宋体"/>
          <w:b w:val="0"/>
          <w:bCs/>
          <w:i w:val="0"/>
          <w:iCs w:val="0"/>
          <w:color w:val="auto"/>
          <w:sz w:val="24"/>
          <w:szCs w:val="24"/>
          <w:lang w:val="en-US" w:eastAsia="zh-CN"/>
        </w:rPr>
      </w:pPr>
      <w:r>
        <w:rPr>
          <w:rFonts w:hint="eastAsia" w:ascii="微软雅黑" w:hAnsi="微软雅黑" w:eastAsia="微软雅黑" w:cs="微软雅黑"/>
          <w:b/>
          <w:color w:val="auto"/>
          <w:sz w:val="24"/>
          <w:szCs w:val="24"/>
          <w:lang w:val="en-US" w:eastAsia="zh-CN"/>
        </w:rPr>
        <w:t xml:space="preserve">   </w:t>
      </w:r>
      <w:r>
        <w:rPr>
          <w:rFonts w:hint="eastAsia" w:ascii="宋体" w:hAnsi="宋体" w:eastAsia="宋体" w:cs="宋体"/>
          <w:b w:val="0"/>
          <w:bCs/>
          <w:i w:val="0"/>
          <w:iCs w:val="0"/>
          <w:color w:val="auto"/>
          <w:sz w:val="24"/>
          <w:szCs w:val="24"/>
          <w:lang w:val="en-US" w:eastAsia="zh-CN"/>
        </w:rPr>
        <w:t>江苏某隧道工程公司计划投资1200万，预计2016年5月28日（本周五）到达西安洽谈。陕汽集团下属产业基金预计2016年5月30日后接触。</w:t>
      </w:r>
    </w:p>
    <w:p>
      <w:pPr>
        <w:spacing w:line="240" w:lineRule="auto"/>
        <w:ind w:left="0" w:leftChars="0"/>
        <w:rPr>
          <w:rFonts w:hint="eastAsia" w:ascii="宋体" w:hAnsi="宋体" w:eastAsia="宋体" w:cs="宋体"/>
          <w:b w:val="0"/>
          <w:bCs/>
          <w:i w:val="0"/>
          <w:iCs w:val="0"/>
          <w:color w:val="auto"/>
          <w:sz w:val="24"/>
          <w:szCs w:val="24"/>
          <w:lang w:val="en-US" w:eastAsia="zh-CN"/>
        </w:rPr>
      </w:pPr>
      <w:r>
        <w:rPr>
          <w:rFonts w:hint="eastAsia" w:ascii="宋体" w:hAnsi="宋体" w:eastAsia="宋体" w:cs="宋体"/>
          <w:b w:val="0"/>
          <w:bCs/>
          <w:i w:val="0"/>
          <w:iCs w:val="0"/>
          <w:color w:val="auto"/>
          <w:sz w:val="24"/>
          <w:szCs w:val="24"/>
          <w:lang w:val="en-US" w:eastAsia="zh-CN"/>
        </w:rPr>
        <w:t xml:space="preserve">  另我与陕鼓动力投资方面想关人员沟通、均对此项目非常感兴趣，因此后期的并购压力较小、可能较大，如认可项目、我司可在投资同时建立备用退出通道。</w:t>
      </w:r>
    </w:p>
    <w:p>
      <w:pPr>
        <w:spacing w:line="240" w:lineRule="auto"/>
        <w:ind w:left="0"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退出渠道</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公司将提供以下退出方式供投资人选择：</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val="en-US" w:eastAsia="zh-CN"/>
        </w:rPr>
        <w:t>企业的证券化</w:t>
      </w:r>
    </w:p>
    <w:p>
      <w:pPr>
        <w:spacing w:line="240" w:lineRule="auto"/>
        <w:ind w:left="0" w:leftChars="0" w:firstLine="560" w:firstLineChars="200"/>
        <w:rPr>
          <w:rFonts w:hint="eastAsia" w:ascii="宋体" w:hAnsi="宋体" w:eastAsia="宋体" w:cs="宋体"/>
          <w:sz w:val="24"/>
          <w:szCs w:val="24"/>
        </w:rPr>
      </w:pPr>
      <w:r>
        <w:rPr>
          <w:rFonts w:hint="eastAsia" w:ascii="宋体" w:hAnsi="宋体" w:eastAsia="宋体" w:cs="宋体"/>
          <w:sz w:val="24"/>
          <w:szCs w:val="24"/>
          <w:lang w:val="en-US" w:eastAsia="zh-CN"/>
        </w:rPr>
        <w:t>挂牌/</w:t>
      </w:r>
      <w:r>
        <w:rPr>
          <w:rFonts w:hint="eastAsia" w:ascii="宋体" w:hAnsi="宋体" w:eastAsia="宋体" w:cs="宋体"/>
          <w:sz w:val="24"/>
          <w:szCs w:val="24"/>
        </w:rPr>
        <w:t>上市是</w:t>
      </w:r>
      <w:r>
        <w:rPr>
          <w:rFonts w:hint="eastAsia" w:ascii="宋体" w:hAnsi="宋体" w:eastAsia="宋体" w:cs="宋体"/>
          <w:sz w:val="24"/>
          <w:szCs w:val="24"/>
          <w:lang w:val="en-US" w:eastAsia="zh-CN"/>
        </w:rPr>
        <w:t>优先</w:t>
      </w:r>
      <w:r>
        <w:rPr>
          <w:rFonts w:hint="eastAsia" w:ascii="宋体" w:hAnsi="宋体" w:eastAsia="宋体" w:cs="宋体"/>
          <w:sz w:val="24"/>
          <w:szCs w:val="24"/>
        </w:rPr>
        <w:t>的退出路径，对公司来讲，</w:t>
      </w:r>
      <w:r>
        <w:rPr>
          <w:rFonts w:hint="eastAsia" w:ascii="宋体" w:hAnsi="宋体" w:eastAsia="宋体" w:cs="宋体"/>
          <w:sz w:val="24"/>
          <w:szCs w:val="24"/>
          <w:lang w:val="en-US" w:eastAsia="zh-CN"/>
        </w:rPr>
        <w:t>企业正在着手准备的</w:t>
      </w:r>
      <w:r>
        <w:rPr>
          <w:rFonts w:hint="eastAsia" w:ascii="宋体" w:hAnsi="宋体" w:eastAsia="宋体" w:cs="宋体"/>
          <w:sz w:val="24"/>
          <w:szCs w:val="24"/>
        </w:rPr>
        <w:t>就是成为</w:t>
      </w:r>
      <w:r>
        <w:rPr>
          <w:rFonts w:hint="eastAsia" w:ascii="宋体" w:hAnsi="宋体" w:eastAsia="宋体" w:cs="宋体"/>
          <w:sz w:val="24"/>
          <w:szCs w:val="24"/>
          <w:lang w:val="en-US" w:eastAsia="zh-CN"/>
        </w:rPr>
        <w:t>挂牌</w:t>
      </w:r>
      <w:r>
        <w:rPr>
          <w:rFonts w:hint="eastAsia" w:ascii="宋体" w:hAnsi="宋体" w:eastAsia="宋体" w:cs="宋体"/>
          <w:sz w:val="24"/>
          <w:szCs w:val="24"/>
        </w:rPr>
        <w:t>公司。待公司</w:t>
      </w:r>
      <w:r>
        <w:rPr>
          <w:rFonts w:hint="eastAsia" w:ascii="宋体" w:hAnsi="宋体" w:eastAsia="宋体" w:cs="宋体"/>
          <w:sz w:val="24"/>
          <w:szCs w:val="24"/>
          <w:lang w:val="en-US" w:eastAsia="zh-CN"/>
        </w:rPr>
        <w:t>挂牌</w:t>
      </w:r>
      <w:r>
        <w:rPr>
          <w:rFonts w:hint="eastAsia" w:ascii="宋体" w:hAnsi="宋体" w:eastAsia="宋体" w:cs="宋体"/>
          <w:sz w:val="24"/>
          <w:szCs w:val="24"/>
        </w:rPr>
        <w:t>后，</w:t>
      </w:r>
      <w:r>
        <w:rPr>
          <w:rFonts w:hint="eastAsia" w:ascii="宋体" w:hAnsi="宋体" w:eastAsia="宋体" w:cs="宋体"/>
          <w:sz w:val="24"/>
          <w:szCs w:val="24"/>
          <w:lang w:val="en-US" w:eastAsia="zh-CN"/>
        </w:rPr>
        <w:t>企业的高成长性将会对</w:t>
      </w:r>
      <w:r>
        <w:rPr>
          <w:rFonts w:hint="eastAsia" w:ascii="宋体" w:hAnsi="宋体" w:eastAsia="宋体" w:cs="宋体"/>
          <w:sz w:val="24"/>
          <w:szCs w:val="24"/>
        </w:rPr>
        <w:t>所有投资股东</w:t>
      </w:r>
      <w:r>
        <w:rPr>
          <w:rFonts w:hint="eastAsia" w:ascii="宋体" w:hAnsi="宋体" w:eastAsia="宋体" w:cs="宋体"/>
          <w:sz w:val="24"/>
          <w:szCs w:val="24"/>
          <w:lang w:val="en-US" w:eastAsia="zh-CN"/>
        </w:rPr>
        <w:t>的退出及收益形成保障</w:t>
      </w:r>
      <w:r>
        <w:rPr>
          <w:rFonts w:hint="eastAsia" w:ascii="宋体" w:hAnsi="宋体" w:eastAsia="宋体" w:cs="宋体"/>
          <w:sz w:val="24"/>
          <w:szCs w:val="24"/>
        </w:rPr>
        <w:t>。</w:t>
      </w:r>
    </w:p>
    <w:p>
      <w:pPr>
        <w:numPr>
          <w:ilvl w:val="0"/>
          <w:numId w:val="1"/>
        </w:numPr>
        <w:spacing w:line="240" w:lineRule="auto"/>
        <w:ind w:left="0" w:leftChars="0" w:firstLine="560" w:firstLineChars="200"/>
        <w:rPr>
          <w:rFonts w:hint="eastAsia" w:ascii="宋体" w:hAnsi="宋体" w:eastAsia="宋体" w:cs="宋体"/>
          <w:sz w:val="24"/>
          <w:szCs w:val="24"/>
          <w:lang w:val="en-US" w:eastAsia="zh-CN"/>
        </w:rPr>
      </w:pPr>
      <w:bookmarkStart w:id="45" w:name="_Toc67969656"/>
      <w:bookmarkStart w:id="46" w:name="_Toc429700535"/>
      <w:bookmarkStart w:id="47" w:name="_Toc127595294"/>
      <w:bookmarkStart w:id="48" w:name="_Toc388723374"/>
      <w:bookmarkStart w:id="49" w:name="_Toc125455546"/>
      <w:bookmarkStart w:id="50" w:name="_Toc423304792"/>
      <w:r>
        <w:rPr>
          <w:rFonts w:hint="eastAsia" w:ascii="宋体" w:hAnsi="宋体" w:eastAsia="宋体" w:cs="宋体"/>
          <w:sz w:val="24"/>
          <w:szCs w:val="24"/>
          <w:lang w:val="en-US" w:eastAsia="zh-CN"/>
        </w:rPr>
        <w:t>其他上市公司的并购、产业基金的收购</w:t>
      </w:r>
      <w:bookmarkEnd w:id="45"/>
      <w:bookmarkEnd w:id="46"/>
      <w:bookmarkEnd w:id="47"/>
      <w:bookmarkEnd w:id="48"/>
      <w:bookmarkEnd w:id="49"/>
      <w:bookmarkEnd w:id="50"/>
    </w:p>
    <w:p>
      <w:pPr>
        <w:numPr>
          <w:ilvl w:val="0"/>
          <w:numId w:val="0"/>
        </w:numPr>
        <w:spacing w:line="240" w:lineRule="auto"/>
        <w:ind w:left="0" w:leftChars="0"/>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股东可以采取股权转让的退出方式。出售的对象既可以是一般的公司、法人，也可以是其他的投资基金、同行业公司等。</w:t>
      </w:r>
    </w:p>
    <w:p>
      <w:pPr>
        <w:spacing w:line="240" w:lineRule="auto"/>
        <w:ind w:left="0" w:leftChars="0" w:firstLine="56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经与部分投资方向吻合的集团、基金沟通，获得的信息为均对该项目</w:t>
      </w:r>
      <w:bookmarkStart w:id="51" w:name="_Toc67969658"/>
      <w:bookmarkStart w:id="52" w:name="_Toc125455548"/>
      <w:bookmarkStart w:id="53" w:name="_Toc127595296"/>
      <w:bookmarkStart w:id="54" w:name="_Toc423304794"/>
      <w:bookmarkStart w:id="55" w:name="_Toc429700537"/>
      <w:bookmarkStart w:id="56" w:name="_Toc388723376"/>
      <w:r>
        <w:rPr>
          <w:rFonts w:hint="eastAsia" w:ascii="宋体" w:hAnsi="宋体" w:eastAsia="宋体" w:cs="宋体"/>
          <w:sz w:val="24"/>
          <w:szCs w:val="24"/>
          <w:lang w:val="en-US" w:eastAsia="zh-CN"/>
        </w:rPr>
        <w:t>比较感兴趣，认为该类型企业技术工程壁垒高、增长快、利润可观，符合投资和并购的需求和特征。</w:t>
      </w:r>
    </w:p>
    <w:bookmarkEnd w:id="51"/>
    <w:bookmarkEnd w:id="52"/>
    <w:bookmarkEnd w:id="53"/>
    <w:bookmarkEnd w:id="54"/>
    <w:bookmarkEnd w:id="55"/>
    <w:bookmarkEnd w:id="56"/>
    <w:p>
      <w:pPr>
        <w:spacing w:line="240" w:lineRule="auto"/>
        <w:ind w:left="0" w:leftChars="0" w:firstLine="560" w:firstLineChars="200"/>
        <w:rPr>
          <w:rFonts w:hint="eastAsia" w:ascii="宋体" w:hAnsi="宋体" w:eastAsia="宋体" w:cs="宋体"/>
          <w:sz w:val="24"/>
          <w:szCs w:val="24"/>
        </w:rPr>
      </w:pPr>
    </w:p>
    <w:bookmarkEnd w:id="43"/>
    <w:p>
      <w:pPr>
        <w:spacing w:line="240" w:lineRule="auto"/>
        <w:ind w:left="0" w:leftChars="0" w:firstLine="560" w:firstLineChars="200"/>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b/>
          <w:bCs/>
          <w:kern w:val="0"/>
          <w:sz w:val="24"/>
          <w:szCs w:val="24"/>
          <w:lang w:val="en-US" w:eastAsia="zh-CN"/>
        </w:rPr>
        <w:t>建议：</w:t>
      </w:r>
      <w:r>
        <w:rPr>
          <w:rFonts w:hint="eastAsia" w:ascii="宋体" w:hAnsi="宋体" w:eastAsia="宋体" w:cs="宋体"/>
          <w:kern w:val="0"/>
          <w:sz w:val="24"/>
          <w:szCs w:val="24"/>
        </w:rPr>
        <w:t>由以上可以看出，本项目产品具有良好的市场前景和巨大的竞争优势。</w:t>
      </w:r>
      <w:r>
        <w:rPr>
          <w:rFonts w:hint="eastAsia" w:ascii="宋体" w:hAnsi="宋体" w:eastAsia="宋体" w:cs="宋体"/>
          <w:kern w:val="0"/>
          <w:sz w:val="24"/>
          <w:szCs w:val="24"/>
          <w:lang w:val="en-US" w:eastAsia="zh-CN"/>
        </w:rPr>
        <w:t>如果项目最终可行，建议投资。</w:t>
      </w:r>
    </w:p>
    <w:p>
      <w:pPr>
        <w:spacing w:line="240" w:lineRule="auto"/>
        <w:ind w:left="0" w:leftChars="0" w:firstLine="560" w:firstLineChars="200"/>
        <w:rPr>
          <w:rFonts w:hint="eastAsia" w:ascii="宋体" w:hAnsi="宋体" w:eastAsia="宋体" w:cs="宋体"/>
          <w:sz w:val="24"/>
          <w:szCs w:val="24"/>
        </w:rPr>
      </w:pPr>
    </w:p>
    <w:p>
      <w:pPr>
        <w:spacing w:line="240" w:lineRule="auto"/>
        <w:ind w:left="0" w:leftChars="0"/>
        <w:rPr>
          <w:rFonts w:hint="eastAsia" w:ascii="微软雅黑" w:hAnsi="微软雅黑" w:eastAsia="微软雅黑" w:cs="微软雅黑"/>
          <w:sz w:val="24"/>
          <w:szCs w:val="24"/>
          <w:lang w:val="en-US" w:eastAsia="zh-CN"/>
        </w:rPr>
      </w:pPr>
      <w:bookmarkStart w:id="57" w:name="_GoBack"/>
      <w:bookmarkEnd w:id="5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embedRegular r:id="rId1" w:fontKey="{52E90507-563A-4AEF-BAD6-8BCA0B9B1C44}"/>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embedRegular r:id="rId2" w:fontKey="{1540F561-AB5E-4B8B-9551-FB316FED6737}"/>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Helvetica Neue Medium">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auto"/>
    <w:pitch w:val="default"/>
    <w:sig w:usb0="00000000" w:usb1="00000000" w:usb2="00000000" w:usb3="00000000" w:csb0="2000019F" w:csb1="00000000"/>
  </w:font>
  <w:font w:name="字体管家糖果">
    <w:altName w:val="宋体"/>
    <w:panose1 w:val="00020600040101010101"/>
    <w:charset w:val="86"/>
    <w:family w:val="auto"/>
    <w:pitch w:val="default"/>
    <w:sig w:usb0="00000000" w:usb1="00000000" w:usb2="00000000" w:usb3="00000000" w:csb0="00000000" w:csb1="00000000"/>
  </w:font>
  <w:font w:name="文鼎行楷碑体_B">
    <w:altName w:val="宋体"/>
    <w:panose1 w:val="04020800000000000000"/>
    <w:charset w:val="86"/>
    <w:family w:val="auto"/>
    <w:pitch w:val="default"/>
    <w:sig w:usb0="00000000" w:usb1="00000000" w:usb2="00000012" w:usb3="00000000" w:csb0="0004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 BERKLEY">
    <w:altName w:val="Vrinda"/>
    <w:panose1 w:val="02000000000000000000"/>
    <w:charset w:val="00"/>
    <w:family w:val="auto"/>
    <w:pitch w:val="default"/>
    <w:sig w:usb0="00000000" w:usb1="00000000" w:usb2="00000000" w:usb3="00000000" w:csb0="00000000" w:csb1="00000000"/>
  </w:font>
  <w:font w:name="方正兰亭超细黑简体">
    <w:altName w:val="黑体"/>
    <w:panose1 w:val="02000000000000000000"/>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okChampa">
    <w:panose1 w:val="020B0604020202020204"/>
    <w:charset w:val="00"/>
    <w:family w:val="auto"/>
    <w:pitch w:val="default"/>
    <w:sig w:usb0="03000003" w:usb1="00000000" w:usb2="00000000" w:usb3="00000000" w:csb0="40010001" w:csb1="00000000"/>
  </w:font>
  <w:font w:name="Franklin Gothic Medium">
    <w:panose1 w:val="020B0603020102020204"/>
    <w:charset w:val="00"/>
    <w:family w:val="auto"/>
    <w:pitch w:val="default"/>
    <w:sig w:usb0="00000287" w:usb1="00000000" w:usb2="00000000" w:usb3="00000000" w:csb0="2000009F" w:csb1="DFD70000"/>
  </w:font>
  <w:font w:name="Euphemia">
    <w:panose1 w:val="020B0503040102020104"/>
    <w:charset w:val="00"/>
    <w:family w:val="auto"/>
    <w:pitch w:val="default"/>
    <w:sig w:usb0="8000006F" w:usb1="0000004A" w:usb2="00002000" w:usb3="0000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rinda">
    <w:panose1 w:val="020B0502040204020203"/>
    <w:charset w:val="00"/>
    <w:family w:val="auto"/>
    <w:pitch w:val="default"/>
    <w:sig w:usb0="00010003"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黑体">
    <w:panose1 w:val="02010609060101010101"/>
    <w:charset w:val="86"/>
    <w:family w:val="auto"/>
    <w:pitch w:val="default"/>
    <w:sig w:usb0="800002BF" w:usb1="38CF7CFA" w:usb2="00000016" w:usb3="00000000" w:csb0="00040001" w:csb1="00000000"/>
    <w:embedRegular r:id="rId3" w:fontKey="{95F3B522-4DD5-476F-B797-AEC179DC31F8}"/>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413A5"/>
    <w:multiLevelType w:val="singleLevel"/>
    <w:tmpl w:val="574413A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F20FB"/>
    <w:rsid w:val="04864A5E"/>
    <w:rsid w:val="06BB0ADD"/>
    <w:rsid w:val="0AF55461"/>
    <w:rsid w:val="1749090F"/>
    <w:rsid w:val="176F20FB"/>
    <w:rsid w:val="1F1D5695"/>
    <w:rsid w:val="224B636B"/>
    <w:rsid w:val="243E40B2"/>
    <w:rsid w:val="24891E7B"/>
    <w:rsid w:val="26461AD5"/>
    <w:rsid w:val="2CF312DC"/>
    <w:rsid w:val="30D20EEA"/>
    <w:rsid w:val="325E2222"/>
    <w:rsid w:val="34345D0C"/>
    <w:rsid w:val="3CC20FAE"/>
    <w:rsid w:val="474D5F24"/>
    <w:rsid w:val="492F5DD8"/>
    <w:rsid w:val="4E170699"/>
    <w:rsid w:val="52673433"/>
    <w:rsid w:val="618D7EFF"/>
    <w:rsid w:val="619543E5"/>
    <w:rsid w:val="64314467"/>
    <w:rsid w:val="645052E9"/>
    <w:rsid w:val="6C532A05"/>
    <w:rsid w:val="6F626C4B"/>
    <w:rsid w:val="6F7F76B9"/>
    <w:rsid w:val="79EF0259"/>
    <w:rsid w:val="7A4F1A25"/>
    <w:rsid w:val="7F9E33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Cambria" w:hAnsi="Cambria"/>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table" w:styleId="6">
    <w:name w:val="Table Grid"/>
    <w:basedOn w:val="5"/>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7">
    <w:name w:val="醒目引文"/>
    <w:next w:val="8"/>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220"/>
      </w:tabs>
      <w:suppressAutoHyphens w:val="0"/>
      <w:bidi w:val="0"/>
      <w:spacing w:before="0" w:beforeAutospacing="0" w:after="0" w:afterAutospacing="0" w:line="264" w:lineRule="auto"/>
      <w:ind w:left="120" w:right="0" w:hanging="120"/>
      <w:jc w:val="left"/>
      <w:outlineLvl w:val="0"/>
    </w:pPr>
    <w:rPr>
      <w:rFonts w:hint="default" w:ascii="Helvetica Neue Medium" w:hAnsi="Helvetica Neue Medium" w:eastAsia="Arial Unicode MS" w:cs="Arial Unicode MS"/>
      <w:color w:val="FF4013"/>
      <w:spacing w:val="0"/>
      <w:w w:val="100"/>
      <w:kern w:val="0"/>
      <w:position w:val="0"/>
      <w:sz w:val="32"/>
      <w:szCs w:val="32"/>
      <w:u w:val="none" w:color="auto"/>
      <w:vertAlign w:val="baseline"/>
    </w:rPr>
  </w:style>
  <w:style w:type="paragraph" w:customStyle="1" w:styleId="8">
    <w:name w:val="正文 3"/>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0"/>
      <w:szCs w:val="20"/>
      <w:u w:val="none" w:color="auto"/>
      <w:vertAlign w:val="baseline"/>
      <w:lang w:val="zh-CN" w:eastAsia="zh-CN"/>
    </w:rPr>
  </w:style>
  <w:style w:type="paragraph" w:customStyle="1" w:styleId="9">
    <w:name w:val="引文"/>
    <w:next w:val="8"/>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00" w:beforeAutospacing="0" w:after="0" w:afterAutospacing="0" w:line="240" w:lineRule="auto"/>
      <w:ind w:left="120" w:right="0" w:firstLine="0"/>
      <w:jc w:val="left"/>
      <w:outlineLvl w:val="2"/>
    </w:pPr>
    <w:rPr>
      <w:rFonts w:ascii="Helvetica Neue" w:hAnsi="Helvetica Neue" w:eastAsia="Arial Unicode MS" w:cs="Arial Unicode MS"/>
      <w:i/>
      <w:iCs/>
      <w:color w:val="222222"/>
      <w:spacing w:val="0"/>
      <w:w w:val="100"/>
      <w:kern w:val="0"/>
      <w:position w:val="0"/>
      <w:sz w:val="20"/>
      <w:szCs w:val="20"/>
      <w:u w:val="none" w:color="auto"/>
      <w:vertAlign w:val="baseline"/>
      <w:lang w:val="it-I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2016-05-24T02:55:00Z</dcterms:created>
  <dc:creator>赵亮</dc:creator>
  <cp:lastModifiedBy>zy</cp:lastModifiedBy>
  <dcterms:modified xsi:type="dcterms:W3CDTF">2016-07-21T00:56:37Z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