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Heading1"/>
      </w:pPr>
      <w:r>
        <w:t/>
      </w:r>
      <w:r>
        <w:t xml:space="preserve"/>
      </w:r>
      <w:r>
        <w:t xml:space="preserve">C&amp;S: gap_gender</w:t>
      </w:r>
    </w:p>
    <w:p>
      <w:pPr>
        <w:pStyle w:val="Heading2"/>
      </w:pPr>
      <w:r>
        <w:t/>
      </w:r>
      <w:r>
        <w:t xml:space="preserve"/>
      </w:r>
      <w:r>
        <w:t xml:space="preserve">Event-time dynamics (-3..6)</w:t>
      </w:r>
    </w:p>
    <w:tbl>
      <w:tblPr>
        <w:tblStyle w:val="TableGrid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</w:tcPr>
          <w:p>
            <w:pPr>
              <w:spacing w:after="0"/>
            </w:pP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se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z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pvalue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ll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ul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df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crit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eform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Pre_avg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-0.038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0.029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-1.287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0.198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-0.095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0.020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Post_avg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-0.256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0.120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-2.136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0.033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-0.491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-0.021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Tm3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-0.066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0.063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-1.038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0.299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-0.189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0.058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Tm2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-0.039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0.054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-0.719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0.472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-0.146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0.068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Tm1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-0.009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0.056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-0.157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0.875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-0.118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0.101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0.052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0.071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0.743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0.457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-0.086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0.191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-0.125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0.090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-1.393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0.163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-0.301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0.051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-0.012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0.109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-0.108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0.914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-0.226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0.203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-0.236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0.148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-1.592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0.111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-0.527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0.055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-0.331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0.187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-1.767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0.077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-0.699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0.036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-0.832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0.559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-1.488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0.137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-1.927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0.264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-0.309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0.228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-1.357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0.175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-0.756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0.137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Aggregated effects (coefficients only)</w:t>
      </w:r>
    </w:p>
    <w:p>
      <w:r>
        <w:t/>
      </w:r>
      <w:r>
        <w:t xml:space="preserve">Pre_avg (-3..-1)  = -0.038</w:t>
      </w:r>
    </w:p>
    <w:p>
      <w:r>
        <w:t/>
      </w:r>
      <w:r>
        <w:t xml:space="preserve">Post_avg (0..4) = -0.130</w:t>
      </w:r>
    </w:p>
    <w:p>
      <w:r>
        <w:t/>
      </w:r>
      <w:r>
        <w:t xml:space="preserve">Post_avg (0..6) = -0.256</w:t>
      </w:r>
    </w:p>
    <w:p>
      <w:pPr>
        <w:pStyle w:val="Heading2"/>
      </w:pPr>
      <w:r>
        <w:t/>
      </w:r>
      <w:r>
        <w:t xml:space="preserve"/>
      </w:r>
      <w:r>
        <w:t xml:space="preserve">Wald Tests</w:t>
      </w:r>
    </w:p>
    <w:p>
      <w:r>
        <w:t/>
      </w:r>
      <w:r>
        <w:t xml:space="preserve">H0: all pre-treatment coefficients are equal to zero (-3 -1)</w:t>
      </w:r>
    </w:p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1.869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0.600</w:t>
            </w:r>
          </w:p>
        </w:tc>
      </w:tr>
    </w:tbl>
    <w:p>
      <w:r>
        <w:t/>
      </w:r>
    </w:p>
    <w:p>
      <w:r>
        <w:t/>
      </w:r>
      <w:r>
        <w:t xml:space="preserve">H0: all short-run post-treatment coefficients are equal to zero (0 2)</w:t>
      </w:r>
    </w:p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8.189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0.042</w:t>
            </w:r>
          </w:p>
        </w:tc>
      </w:tr>
    </w:tbl>
    <w:p>
      <w:r>
        <w:t/>
      </w:r>
    </w:p>
    <w:p>
      <w:r>
        <w:t/>
      </w:r>
      <w:r>
        <w:t xml:space="preserve">H0: all medium-run post-treatment coefficients are equal to zero (3 4)</w:t>
      </w:r>
    </w:p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3.513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0.173</w:t>
            </w:r>
          </w:p>
        </w:tc>
      </w:tr>
    </w:tbl>
    <w:p>
      <w:r>
        <w:t/>
      </w:r>
    </w:p>
    <w:p>
      <w:r>
        <w:t/>
      </w:r>
      <w:r>
        <w:t xml:space="preserve">H0: all long-run post-treatment coefficients are equal to zero (5 6)</w:t>
      </w:r>
    </w:p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4.415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0.110</w:t>
            </w:r>
          </w:p>
        </w:tc>
      </w:tr>
    </w:tbl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Obs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965007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Establishments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99323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Treated Establishments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10733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Comparison Establishments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88590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Figure saved to: results/plots/ES_gap_gender.png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Arial" w:hAnsi="Arial" w:eastAsia="Arial" w:cs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