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ghcr.io/global-datacare/gw-core@sha256:a9d18e92fc422f4fd79d18bfce6977814812187870f6ddda72aebc8428ae5b18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ghcr.io/global-datacare/host-runtime@sha256:f5d45cebaa5e7443ebf70aac85f33794d3d366dcb5370ab7921e9bc56336c0fa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diez servidores de chaincode. Todos los hosts usan gdc-cc-organization-sc:9999 dentro de su namespace aislado, por lo que los paquetes y package IDs son reutilizables.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diez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e ICAs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ICAs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Nodo Operador.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la ejecuta el equipo DevOps de Fabric.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el equipo DevOps de Fabric debe revocar el identificador no consumido porque la ICA de Fabric aplica el límite de usos, no esa fecha.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Esta guía utiliza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Nodo Operador, que actúa como Proveedor de Alojamiento para alojar organizaciones proveedoras o consumidoras de servicios de índice o de gemelos digitales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con el significado definido en el Rulebook: la infraestructura técnica acreditada que aloja participantes y presta servicios en el Espacio. El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equipo DevOps del Nodo Operador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los comandos de despliegue y operación.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identidad registradora de la ICA de Fabric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administrador del MSP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son identidades diferentes. Ambas son </w:t>
      </w: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identidades administrativas de Fabric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La primera registra los identificadores de enrolamiento en la ICA de Fabric; la segunda administra el MSP en las operaciones autorizadas de configuración y lifecycle. La entidad autorizada para administrar Fabric custodia ambas identidades y el equipo DevOps de Fabric las utiliza para ejecutar las operaciones aprobadas. El equipo DevOps del Nodo Operador no recibe ninguna de las dos: solo recibe los grants temporales.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 grant temporal de enrolamiento no es un certificado. Contiene el identificador y el secreto temporales necesarios para solicitarlo a la ICA de Fabric. Al consumir el grant, la clave privada se genera dentro del Nodo Operador y la ICA de Fabric devuelve el certificado X.509. El grant del peer permite los enrolamientos MSP y TLS; el grant del cliente GW permite su enrolamiento MSP. Ninguno incorpora por sí solo el peer a los canales.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devuelve directamente los certificados al Nodo Operador. No pasan por el equipo DevOps de Fabric.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Conforme a la sección 10.4 del Rulebook, el Nodo Operador debe demostrar capacidad técnica, mecanismos de identidad y confianza, publicación de artefactos y controles de Compute to Data cuando apliquen. Su habilitación exige la validación del Operador del Espacio cuando esté designado o, en su defecto, del Nodo Operador anfitrión y la ICA correspondiente. La sección 13.3 le atribuye las obligaciones contractuales y normativas sobre seguridad, disponibilidad de la infraestructura y protección de datos.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equipo DevOps del Nodo Operador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Validación reproducible completa en local-network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que ejecuta la validación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El equipo DevOps de Fabric puede publicar una ventana TLS limitada a la IP de salida del Nodo Operador y cerrarla después. El equipo DevOps del Nodo Operador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DevOps de Fabric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equipo DevOps del Nodo Operador recibe por un canal seguro un paquete privado cifrado. El administrador del MSP, la identidad registradora de la ICA de Fabric, la Host VC-JWT, el PDF y el inventario completo de red quedan fuera de la entrega: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gw-client-enrollment-grant.json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fabric-ica-ca-chain.pem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fabric-endpoints.json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Los grants son secretos temporales.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es el resultado saneado,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host-apply-confirmation.json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proporciona el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requestId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onboarding.host.json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fija las rutas del rol del host. El equipo DevOps del Nodo Operador comprueba los hashes antes de generar sus claves: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host-apply-confirmation.json)"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/secure/onboarding/onboarding.host.json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validar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0.3.4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0.3.4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 y MSP/TLS se generan de nuevo para cada entorno; los package IDs CCAAS deterministas son compartidos.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GW_PUBLIC_IMAGE="ghcr.io/global-datacare/gw-core@sha256:a9d18e92fc422f4fd79d18bfce6977814812187870f6ddda72aebc8428ae5b18"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CCAAS_PUBLIC_IMAGE="ghcr.io/global-datacare/host-runtime@sha256:f5d45cebaa5e7443ebf70aac85f33794d3d366dcb5370ab7921e9bc56336c0fa"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Service estable gdc-cc-&lt;contrato&gt;:9999.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solo cambiar ese contrato, el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diez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0.3.4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gdc-host-0.3.4.tgz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equipo DevOps de Fabric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Nodo Operador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