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28"/>
      </w:pPr>
      <w:r>
        <w:rPr>
          <w:rFonts w:ascii="Arial" w:hAnsi="Arial" w:cs="Arial"/>
          <w:sz w:val="64"/>
          <w:sz-cs w:val="64"/>
          <w:b/>
          <w:spacing w:val="0"/>
          <w:color w:val="102C4B"/>
        </w:rPr>
        <w:t xml:space="preserve">Guía reproducible para el alta y despliegue de un host</w:t>
      </w:r>
    </w:p>
    <w:p>
      <w:pPr>
        <w:spacing w:after="240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Documento público en español para memoria, consultoría e integración.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/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Imágenes OCI públicas verificadas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https://github.com/orgs/Global-DataCare/packages/container/package/gw-core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ghcr.io/global-datacare/gw-core@sha256:6b37c7dfea17dc2ee42628c5467fb5b44fe7f669536e695bd4f2932714485e5f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Runtime CCAAS: </w:t>
      </w:r>
      <w:r>
        <w:rPr>
          <w:rFonts w:ascii="Arial" w:hAnsi="Arial" w:cs="Arial"/>
          <w:sz w:val="24"/>
          <w:sz-cs w:val="24"/>
          <w:u w:val="single"/>
          <w:spacing w:val="0"/>
          <w:color w:val="0000E9"/>
        </w:rPr>
        <w:t xml:space="preserve">https://github.com/orgs/Global-DataCare/packages/container/package/host-runtime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: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ghcr.io/global-datacare/host-runtime@sha256:67e5c0fb93efbdc79812a3579ea0b9b0d8e230fca8d430c72e81666a7389f7ac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y CCAAS son artefactos OCI distintos. El runtime CCAAS contiene los nueve servidores de chaincode, pero los package IDs se generan para el nombre, namespace y Services exactos de cada release Helm.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1. Qué es el recolector de evidencias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término «runner SEDIA» es informal. No es Helm ni una herramienta oficial de SEDIA. Es el recolector público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scripts/collect-open-source-production-readiness-evidence.sh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invocado mediante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Ejecuta las pruebas y genera estados, logs saneados, resumen y manifiesto con hashes.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2. Flujo objetivo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Autorización del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 (VC JSON y VC-JWT)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Registro gobernado en la ICA de Fabric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Enrolamiento MSP y TLS con claves privadas locales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Secrets de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gdc-host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Peer + CouchDB + GW CORE + PostgreSQL + IPFS + CCAAS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      ↓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Canales, escritura, lectura, denegación y reinicio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3. Evidencia ejecutada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CA del espacio de datos local con Root e Issuer desechables.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del espacio de datos y Host VC JSON/VC-JWT sin PDF para un host preautorizado.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ICA de Fabric, certificados MSP/TLS, Host1MSP, Host2MSP, canales y chaincodes.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CORE, PostgreSQL e IPFS con escritura, lectura y recuperación tras reinicio.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Instalación real mediante kind y Helm de un peer del Host2MSP recién admitido, CouchDB, GW CORE, PostgreSQL, IPFS y nueve runtimes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Unión del peer Kubernetes a los canales locales, instalación y aprobación de los paquetes CCAAS exactos.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SHA-256 del identificador de la misma Host VC queda vinculado a los certificados del peer y del cliente GW; GW firma como Host2MSP y se dirige al peer Kubernetes de ese MSP, con persistencia y nueva capacidad de endoso tras reiniciar GW, peer y CCAAS.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Acceso consentido y controles negativos de acceso no autorizado.</w:t>
      </w:r>
    </w:p>
    <w:p>
      <w:pPr/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Separación comprobada: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Docker mantiene la ICA de Fabric, el orderer y un peer de referencia como red externa. El peer desplegado por Helm se une a esa red y el GW endosa exclusivamente mediante ese peer Kubernetes; la ruta al peer Docker solo se usa para gossip/bootstrap.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4. Qué hace realmente la puerta Kubernetes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prueba ya no se limita 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 Crea un clúster kind aislado, namespace y Secrets; carga la imagen aprobada; ejecuta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espera el rollout; realiza operaciones E2E; comprueba canales y CouchDB; consulta PostgreSQL e IPFS dentro de los pods; instala y aprueba los nueve paquetes CCAAS en el peer Kubernetes; ejecuta Consent y SMART mediante ese peer; reinicia GW, peer y CCAAS y comprueba la recuperación.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template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permanece como comprobación estática complementaria.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5. Promoción del mismo 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Entorno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Chart</w:t>
      </w:r>
    </w:p>
    <w:p>
      <w:pPr>
        <w:jc w:val="center"/>
      </w:pPr>
      <w:r>
        <w:rPr>
          <w:rFonts w:ascii="Arial" w:hAnsi="Arial" w:cs="Arial"/>
          <w:sz w:val="24"/>
          <w:sz-cs w:val="24"/>
          <w:b/>
          <w:spacing w:val="0"/>
          <w:color w:val="181E2A"/>
        </w:rPr>
        <w:t xml:space="preserve">Diferencias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local-network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Imágenes y autoridades locales, DNS .localhost y StorageClass de kind.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test-network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Digests publicados, autoridades de staging, DNS/TLS y almacenamiento cloud.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Producción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gdc-host</w:t>
      </w:r>
    </w:p>
    <w:p>
      <w:pPr/>
      <w:r>
        <w:rPr>
          <w:rFonts w:ascii="Arial" w:hAnsi="Arial" w:cs="Arial"/>
          <w:sz w:val="24"/>
          <w:sz-cs w:val="24"/>
          <w:spacing w:val="0"/>
          <w:color w:val="181E2A"/>
        </w:rPr>
        <w:t xml:space="preserve">Host VC y certificados nuevos, digests aprobados, KMS y values del proveedor.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No se reutilizan MSP, TLS, claves, Secrets, grants ni credenciales verificables entre entornos. Se reutilizan el chart, su estructura de configuración y las versiones o digests aprobados.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6. Responsabilidad de Helm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Helm no crea la red Fabric, no actúa como administrador de ninguna ICA y no decide qué MSP entra en los canales. Antes de instalar un host autónomo deben existir la autorización, el grant de enrolamiento, el material MSP/TLS generado por el host, la incorporación gobernada a los canales y los Secrets Kubernetes. La reconciliación privilegiada se ejecuta por la autoridad.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autorización exige una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HostingServiceCredential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también en local-network y test-network. «Sin PDF» significa que la ICA del espacio de datos puede emitir esa VC para un host preautorizado; no significa omitir la credencial. La ICA de Fabric registra después un identificador limitado a dos enrolamientos, uno MSP y otro TLS, y otro identificador de un solo uso para la identidad cliente del GW. Las tres claves privadas se generan dentro del host. El helper aplica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issuedAt/expiresAt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la autoridad debe revocar el identificador no consumido porque Fabric CA garantiza el límite de usos, no esa fecha.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7. Datos requeridos al proveedor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Versión de Kubernetes, namespace, StorageClass e IngressClass.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DNS, TLS, reglas de red y registro de imágenes.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PVC, backups, restauración y observabilidad.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Gestor de secretos y custodia externa del KEK.</w:t>
      </w:r>
    </w:p>
    <w:p>
      <w:pPr>
        <w:ind w:left="720" w:first-line="-720"/>
      </w:pPr>
      <w:r>
        <w:rPr>
          <w:rFonts w:ascii="Arial" w:hAnsi="Arial" w:cs="Arial"/>
          <w:sz w:val="24"/>
          <w:sz-cs w:val="24"/>
          <w:color w:val="181E2A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Valores no secretos del release y canal seguro para grants y Secrets.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8. Criterio de presentación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memoria puede afirmar que la red Fabric local y el despliegue Kubernetes con peer, CouchDB, GW CORE, PostgreSQL, IPFS y CCAAS se han probado de forma reproducible, incluido el lifecycle CCAAS y el E2E del GW contra el peer Kubernetes. La promoción a otra red conserva el chart, pero exige nuevas credenciales, Secrets, digests, values y reconciliación gobernada.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9. Prueba completa del auditor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REPO_ROOT="$(pwd)"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DATASPACE_CA_ROOT="/ruta/al/checkout/dataspace-ca-ts"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DATASPACE_ICA_ROOT="/ruta/al/checkout/dataspace-ica-ts"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"${REPO_ROOT}"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ci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release_tag="$(node -p "require('./package.json').version")-$(git rev-parse --short HEAD)"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IMAGE_NAME="gw-core:${release_tag}"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LOCAL_IMAGE_NAME="${IMAGE_NAME}" ./docker_build_local.sh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npm run evidence:open-source-production-readiness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auditor conserva el directorio anunciado bajo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artifacts/open-source-production-readiness/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comprueba todos los estados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PASS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verifica los hashes. Ningún grant, token, PDF, clave, IP o fichero env forma parte de la evidencia pública.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puerta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21-dataspace-ica-postgres-ipfs-migration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ejecuta el migrador open source de Firestore/GCS a PostgreSQL/IPFS contra Firestore Emulator, PostgreSQL y Kubo reales. Utiliza solo datos sintéticos, relee los registros y CIDs migrados, exige cero referencias GCS pendientes y compara los digests de origen transformado y destino. Los documentos firmados, datos personales y claves reales nunca se publican.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10. Fases de autorización y enrolamiento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ICA de Fabric se usa para altas, renovaciones y revocaciones, no para el tráfico normal de peers y orderers. La autoridad puede publicar una ventana TLS limitada a la IP de salida del proveedor y cerrarla después. El proveedor recibe URL, nombre de CA y cadena pública, pero nunca la identidad registradora de la ICA de Fabric. Antes del enrolamiento verifica: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fabric-ca-client getcainfo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-u "${FABRIC_CA_URL}"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--caname "${FABRIC_CA_NAME}"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--tls.certfiles "${FABRIC_CA_TLS_CERTFILES}"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La autoridad recibe por canal seguro la petición con URL, MSP, Host VC-JWT, decisión firmada, DID públicos, JWKS e inventario gobernado. Ejecuta: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request_id="$(jq -r '.governanceDecision.decision.requestId'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/secure/approvals/host-enrollment-request.json)"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authority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proveedor recibe únicamente el grant 0600 y la cadena TLS pública de Fabric CA. Las claves se crean en su infraestructura: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cd /secure/host/helm-runtime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Para auditar los dos enrolamientos por separado se usan los mismos helpers con variables explícitas: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ENROLLMENT_GRANT_FILE=/secure/grants/peer-grant.json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HOST_MSP_OUTPUT_DIR=/secure/host/fabric-peer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HOST_PEER_DNS="${HOST_PEER_DNS}"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scripts/enrollment/enroll-host-msp.sh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ENROLLMENT_GRANT_FILE=/secure/grants/gw-client-grant.json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HOST_CLIENT_OUTPUT_DIR=/secure/host/fabric-gw-client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CA_TLS_CERT=/secure/trust/fabric-ica-ca-chain.pem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scripts/enrollment/enroll-host-client.sh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paquete resultante contiene solo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msp.tgz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tls.tgz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,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authorization.json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manifest.sha256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11. Imagen OCI, values y package IDs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show chart oci://ghcr.io/global-datacare/gdc-host --version 0.3.0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chart OCI es el mismo artefacto validado en local-network. Los values, Secrets, grants, MSP/TLS y package IDs se generan de nuevo para cada entorno.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GW_PUBLIC_IMAGE="ghcr.io/global-datacare/gw-core@sha256:6b37c7dfea17dc2ee42628c5467fb5b44fe7f669536e695bd4f2932714485e5f"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CCAAS_PUBLIC_IMAGE="ghcr.io/global-datacare/host-runtime@sha256:67e5c0fb93efbdc79812a3579ea0b9b0d8e230fca8d430c72e81666a7389f7ac"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buildx imagetools inspect "${CCAAS_PUBLIC_IMAGE}"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"${GW_PUBLIC_IMAGE}"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docker pull "${CCAAS_PUBLIC_IMAGE}"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GW CORE es un servicio y no se publica en npm. El values de GW usa su digest OCI. Cada entrada CCAAS usa el digest del runtime común y un paquete cuya dirección sea el Service exacto del release. El package ID es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&lt;label&gt;:&lt;sha256 del .tgz&gt;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; cualquier cambio de Service, release, puerto o TLS obliga a regenerarlo.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HOST_FULLNAME="${HELM_RELEASE}"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KUBE_NAMESPACE="${KUBE_NAMESPACE}"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CCAAS_IMAGE="${CCAAS_PUBLIC_IMAGE}"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CCAAS_OUTPUT_DIR=/secure/onboarding/ccaas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scripts/onboarding/prepare-ccaas-packages.sh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shasum -a 256 -c /secure/onboarding/ccaas/manifest.sha256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resultado contiene nueve archivos, sus package IDs en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manifest.tsv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 y el fragmento </w:t>
      </w:r>
      <w:r>
        <w:rPr>
          <w:rFonts w:ascii="Menlo" w:hAnsi="Menlo" w:cs="Menlo"/>
          <w:sz w:val="26"/>
          <w:sz-cs w:val="26"/>
          <w:spacing w:val="0"/>
          <w:color w:val="181E2A"/>
        </w:rPr>
        <w:t xml:space="preserve">chaincodes.values.yaml</w:t>
      </w:r>
      <w:r>
        <w:rPr>
          <w:rFonts w:ascii="Arial" w:hAnsi="Arial" w:cs="Arial"/>
          <w:sz w:val="24"/>
          <w:sz-cs w:val="24"/>
          <w:spacing w:val="0"/>
          <w:color w:val="181E2A"/>
        </w:rPr>
        <w:t xml:space="preserve">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12. Secrets e instalación Kubernetes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KUBE_CONTEXT="contexto-del-cluster"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KUBE_NAMESPACE="namespace-del-host"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export HELM_RELEASE="nombre-del-host"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create namespace "${KUBE_NAMESPACE}"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HOST_RUNTIME_DIR=/secure/host/helm-runtime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POSTGRES_SECRET_ENV_FILE=/secure/host/postgresql.env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COUCHDB_SECRET_ENV_FILE=/secure/host/couchdb.env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GW_SECRET_ENV_FILE=/secure/host/gw.env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REDIS_SECRET_ENV_FILE=/secure/host/redis.env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bash scripts/onboarding/materialize-kubernetes-secrets.sh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bash scripts/validate-host-helm-values.sh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/secure/inventory/host.values.yaml "${KUBE_NAMESPACE}" "${HELM_RELEASE}"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pull oci://ghcr.io/global-datacare/gdc-host --version 0.3.0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tar -xzf gdc-host-0.3.0.tgz -C /secure/onboarding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helm upgrade --install "${HELM_RELEASE}" /secure/onboarding/gdc-host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--kube-context "${KUBE_CONTEXT}" --namespace "${KUBE_NAMESPACE}"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--values /secure/inventory/host.values.yaml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--atomic --wait --timeout 15m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Se materializan seis Secrets básicos —peer MSP, peer TLS, autorización, PostgreSQL, CouchDB y GW— y un séptimo si Redis está habilitado. Los values nunca contienen sus valores. En producción cada pod desenvuelve una vez la KEK mediante el adaptador KMS; una KEK plana solo es válida en local/demo.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13. Reconciliación y aceptación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node scripts/onboarding/host-onboarding-assistant.mjs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--manifest /secure/onboarding/onboarding.json --role platform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--apply --confirm-request "${request_id}"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get pods,pvc,svc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statefulset/"${HELM_RELEASE}"-peer --timeout=5m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kubectl --context "${KUBE_CONTEXT}" -n "${KUBE_NAMESPACE}" rollout status \</w:t>
      </w:r>
    </w:p>
    <w:p>
      <w:pPr/>
      <w:r>
        <w:rPr>
          <w:rFonts w:ascii="Menlo" w:hAnsi="Menlo" w:cs="Menlo"/>
          <w:sz w:val="26"/>
          <w:sz-cs w:val="26"/>
          <w:spacing w:val="0"/>
          <w:color w:val="181E2A"/>
        </w:rPr>
        <w:t xml:space="preserve">  deployment/"${HELM_RELEASE}"-gw --timeout=5m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El mapa privado del operador contiene comandos reales de inspección y aplicación para MSP, grants, peer, canales y lifecycle CCAAS. Si falta uno, el reconciliador falla cerrado. La aceptación prueba escritura/lectura por el peer propio, permiso/denegación y persistencia tras reiniciar GW, peer y CCAAS; un pod arrancado no basta.</w:t>
      </w:r>
    </w:p>
    <w:p>
      <w:pPr>
        <w:spacing w:after="298"/>
      </w:pPr>
      <w:r>
        <w:rPr>
          <w:rFonts w:ascii="Arial" w:hAnsi="Arial" w:cs="Arial"/>
          <w:sz w:val="36"/>
          <w:sz-cs w:val="36"/>
          <w:b/>
          <w:spacing w:val="0"/>
          <w:color w:val="15486C"/>
        </w:rPr>
        <w:t xml:space="preserve">14. Material que se entrega</w:t>
      </w:r>
    </w:p>
    <w:p>
      <w:pPr>
        <w:spacing w:after="240"/>
      </w:pPr>
      <w:r>
        <w:rPr>
          <w:rFonts w:ascii="Arial" w:hAnsi="Arial" w:cs="Arial"/>
          <w:sz w:val="24"/>
          <w:sz-cs w:val="24"/>
          <w:spacing w:val="0"/>
          <w:color w:val="181E2A"/>
        </w:rPr>
        <w:t xml:space="preserve">Commit, digest OCI, chart, values saneado, versiones, gates, logs saneados, auditoría y manifiesto de hashes. Los datos reales del proveedor se mantienen en un anexo privado. La prueba local demuestra reproducibilidad del software; no declara desplegada una infraestructura externa concreta.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