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ghcr.io/global-datacare/gw-core@sha256:6b37c7dfea17dc2ee42628c5467fb5b44fe7f669536e695bd4f2932714485e5f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ghcr.io/global-datacare/host-runtime@sha256:67e5c0fb93efbdc79812a3579ea0b9b0d8e230fca8d430c72e81666a7389f7ac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nueve servidores de chaincode, pero los package IDs se generan para el nombre, namespace y Services exactos de cada release Helm.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únicamente el grant 0600 y la cadena TLS pública de Fabric CA. Las claves se crean en su infraestructura: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GW_PUBLIC_IMAGE="ghcr.io/global-datacare/gw-core@sha256:6b37c7dfea17dc2ee42628c5467fb5b44fe7f669536e695bd4f2932714485e5f"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CCAAS_PUBLIC_IMAGE="ghcr.io/global-datacare/host-runtime@sha256:67e5c0fb93efbdc79812a3579ea0b9b0d8e230fca8d430c72e81666a7389f7ac"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digest del runtime común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charts/gdc-host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