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>
        <w:spacing w:after="428"/>
      </w:pPr>
      <w:r>
        <w:rPr>
          <w:rFonts w:ascii="Arial" w:hAnsi="Arial" w:cs="Arial"/>
          <w:sz w:val="64"/>
          <w:sz-cs w:val="64"/>
          <w:b/>
          <w:spacing w:val="0"/>
          <w:color w:val="102C4B"/>
        </w:rPr>
        <w:t xml:space="preserve">Guía reproducible para el alta y despliegue de un host</w:t>
      </w:r>
    </w:p>
    <w:p>
      <w:pPr>
        <w:spacing w:after="240"/>
      </w:pPr>
      <w:r>
        <w:rPr>
          <w:rFonts w:ascii="Arial" w:hAnsi="Arial" w:cs="Arial"/>
          <w:sz w:val="24"/>
          <w:sz-cs w:val="24"/>
          <w:b/>
          <w:spacing w:val="0"/>
          <w:color w:val="181E2A"/>
        </w:rPr>
        <w:t xml:space="preserve">Documento público en español para memoria, consultoría e integración.</w:t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/>
      </w:r>
    </w:p>
    <w:p>
      <w:pPr>
        <w:spacing w:after="298"/>
      </w:pPr>
      <w:r>
        <w:rPr>
          <w:rFonts w:ascii="Arial" w:hAnsi="Arial" w:cs="Arial"/>
          <w:sz w:val="36"/>
          <w:sz-cs w:val="36"/>
          <w:b/>
          <w:spacing w:val="0"/>
          <w:color w:val="15486C"/>
        </w:rPr>
        <w:t xml:space="preserve">Imágenes OCI públicas verificadas</w:t>
      </w:r>
    </w:p>
    <w:p>
      <w:pPr>
        <w:ind w:left="720" w:first-line="-720"/>
      </w:pPr>
      <w:r>
        <w:rPr>
          <w:rFonts w:ascii="Arial" w:hAnsi="Arial" w:cs="Arial"/>
          <w:sz w:val="24"/>
          <w:sz-cs w:val="24"/>
          <w:color w:val="181E2A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GW CORE: </w:t>
      </w:r>
      <w:r>
        <w:rPr>
          <w:rFonts w:ascii="Arial" w:hAnsi="Arial" w:cs="Arial"/>
          <w:sz w:val="24"/>
          <w:sz-cs w:val="24"/>
          <w:u w:val="single"/>
          <w:spacing w:val="0"/>
          <w:color w:val="0000E9"/>
        </w:rPr>
        <w:t xml:space="preserve">https://github.com/orgs/Global-DataCare/packages/container/package/gw-core</w:t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: </w:t>
      </w:r>
      <w:r>
        <w:rPr>
          <w:rFonts w:ascii="Menlo" w:hAnsi="Menlo" w:cs="Menlo"/>
          <w:sz w:val="26"/>
          <w:sz-cs w:val="26"/>
          <w:spacing w:val="0"/>
          <w:color w:val="181E2A"/>
        </w:rPr>
        <w:t xml:space="preserve">ghcr.io/global-datacare/gw-core@sha256:724ba328915d9907d7254c7eeded845d70dc1ae05881bccff630e871fbc7389f</w:t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.</w:t>
      </w:r>
    </w:p>
    <w:p>
      <w:pPr>
        <w:ind w:left="720" w:first-line="-720"/>
      </w:pPr>
      <w:r>
        <w:rPr>
          <w:rFonts w:ascii="Arial" w:hAnsi="Arial" w:cs="Arial"/>
          <w:sz w:val="24"/>
          <w:sz-cs w:val="24"/>
          <w:color w:val="181E2A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Runtime CCAAS: </w:t>
      </w:r>
      <w:r>
        <w:rPr>
          <w:rFonts w:ascii="Arial" w:hAnsi="Arial" w:cs="Arial"/>
          <w:sz w:val="24"/>
          <w:sz-cs w:val="24"/>
          <w:u w:val="single"/>
          <w:spacing w:val="0"/>
          <w:color w:val="0000E9"/>
        </w:rPr>
        <w:t xml:space="preserve">https://github.com/orgs/Global-DataCare/packages/container/package/host-runtime</w:t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: </w:t>
      </w:r>
      <w:r>
        <w:rPr>
          <w:rFonts w:ascii="Menlo" w:hAnsi="Menlo" w:cs="Menlo"/>
          <w:sz w:val="26"/>
          <w:sz-cs w:val="26"/>
          <w:spacing w:val="0"/>
          <w:color w:val="181E2A"/>
        </w:rPr>
        <w:t xml:space="preserve">ghcr.io/global-datacare/host-runtime@sha256:67e5c0fb93efbdc79812a3579ea0b9b0d8e230fca8d430c72e81666a7389f7ac</w:t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.</w:t>
      </w:r>
    </w:p>
    <w:p>
      <w:pPr>
        <w:spacing w:after="240"/>
      </w:pPr>
      <w:r>
        <w:rPr>
          <w:rFonts w:ascii="Arial" w:hAnsi="Arial" w:cs="Arial"/>
          <w:sz w:val="24"/>
          <w:sz-cs w:val="24"/>
          <w:spacing w:val="0"/>
          <w:color w:val="181E2A"/>
        </w:rPr>
        <w:t xml:space="preserve">GW CORE y CCAAS son artefactos OCI distintos. El runtime CCAAS contiene los nueve servidores de chaincode, pero los package IDs se generan para el nombre, namespace y Services exactos de cada release Helm.</w:t>
      </w:r>
    </w:p>
    <w:p>
      <w:pPr>
        <w:spacing w:after="298"/>
      </w:pPr>
      <w:r>
        <w:rPr>
          <w:rFonts w:ascii="Arial" w:hAnsi="Arial" w:cs="Arial"/>
          <w:sz w:val="36"/>
          <w:sz-cs w:val="36"/>
          <w:b/>
          <w:spacing w:val="0"/>
          <w:color w:val="15486C"/>
        </w:rPr>
        <w:t xml:space="preserve">1. Qué es el recolector de evidencias</w:t>
      </w:r>
    </w:p>
    <w:p>
      <w:pPr>
        <w:spacing w:after="240"/>
      </w:pPr>
      <w:r>
        <w:rPr>
          <w:rFonts w:ascii="Arial" w:hAnsi="Arial" w:cs="Arial"/>
          <w:sz w:val="24"/>
          <w:sz-cs w:val="24"/>
          <w:spacing w:val="0"/>
          <w:color w:val="181E2A"/>
        </w:rPr>
        <w:t xml:space="preserve">El término «runner SEDIA» es informal. No es Helm ni una herramienta oficial de SEDIA. Es el recolector público </w:t>
      </w:r>
      <w:r>
        <w:rPr>
          <w:rFonts w:ascii="Menlo" w:hAnsi="Menlo" w:cs="Menlo"/>
          <w:sz w:val="26"/>
          <w:sz-cs w:val="26"/>
          <w:spacing w:val="0"/>
          <w:color w:val="181E2A"/>
        </w:rPr>
        <w:t xml:space="preserve">scripts/collect-open-source-production-readiness-evidence.sh</w:t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, invocado mediante </w:t>
      </w:r>
      <w:r>
        <w:rPr>
          <w:rFonts w:ascii="Menlo" w:hAnsi="Menlo" w:cs="Menlo"/>
          <w:sz w:val="26"/>
          <w:sz-cs w:val="26"/>
          <w:spacing w:val="0"/>
          <w:color w:val="181E2A"/>
        </w:rPr>
        <w:t xml:space="preserve">npm run evidence:open-source-production-readiness</w:t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. Ejecuta las pruebas y genera estados, logs saneados, resumen y manifiesto con hashes.</w:t>
      </w:r>
    </w:p>
    <w:p>
      <w:pPr>
        <w:spacing w:after="298"/>
      </w:pPr>
      <w:r>
        <w:rPr>
          <w:rFonts w:ascii="Arial" w:hAnsi="Arial" w:cs="Arial"/>
          <w:sz w:val="36"/>
          <w:sz-cs w:val="36"/>
          <w:b/>
          <w:spacing w:val="0"/>
          <w:color w:val="15486C"/>
        </w:rPr>
        <w:t xml:space="preserve">2. Flujo objetivo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Autorización del host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        ↓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HostingServiceCredential (VC JSON y VC-JWT)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        ↓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Registro gobernado en la ICA de Fabric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        ↓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Enrolamiento MSP y TLS con claves privadas locales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        ↓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Secrets de Kubernetes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        ↓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helm upgrade --install gdc-host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        ↓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Peer + CouchDB + GW CORE + PostgreSQL + IPFS + CCAAS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        ↓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Canales, escritura, lectura, denegación y reinicio</w:t>
      </w:r>
    </w:p>
    <w:p>
      <w:pPr>
        <w:spacing w:after="298"/>
      </w:pPr>
      <w:r>
        <w:rPr>
          <w:rFonts w:ascii="Arial" w:hAnsi="Arial" w:cs="Arial"/>
          <w:sz w:val="36"/>
          <w:sz-cs w:val="36"/>
          <w:b/>
          <w:spacing w:val="0"/>
          <w:color w:val="15486C"/>
        </w:rPr>
        <w:t xml:space="preserve">3. Evidencia ejecutada</w:t>
      </w:r>
    </w:p>
    <w:p>
      <w:pPr>
        <w:ind w:left="720" w:first-line="-720"/>
      </w:pPr>
      <w:r>
        <w:rPr>
          <w:rFonts w:ascii="Arial" w:hAnsi="Arial" w:cs="Arial"/>
          <w:sz w:val="24"/>
          <w:sz-cs w:val="24"/>
          <w:color w:val="181E2A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CA del espacio de datos local con Root e Issuer desechables.</w:t>
      </w:r>
    </w:p>
    <w:p>
      <w:pPr>
        <w:ind w:left="720" w:first-line="-720"/>
      </w:pPr>
      <w:r>
        <w:rPr>
          <w:rFonts w:ascii="Arial" w:hAnsi="Arial" w:cs="Arial"/>
          <w:sz w:val="24"/>
          <w:sz-cs w:val="24"/>
          <w:color w:val="181E2A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ICA del espacio de datos y Host VC JSON/VC-JWT sin PDF para un host preautorizado.</w:t>
      </w:r>
    </w:p>
    <w:p>
      <w:pPr>
        <w:ind w:left="720" w:first-line="-720"/>
      </w:pPr>
      <w:r>
        <w:rPr>
          <w:rFonts w:ascii="Arial" w:hAnsi="Arial" w:cs="Arial"/>
          <w:sz w:val="24"/>
          <w:sz-cs w:val="24"/>
          <w:color w:val="181E2A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ICA de Fabric, certificados MSP/TLS, Host1MSP, Host2MSP, canales y chaincodes.</w:t>
      </w:r>
    </w:p>
    <w:p>
      <w:pPr>
        <w:ind w:left="720" w:first-line="-720"/>
      </w:pPr>
      <w:r>
        <w:rPr>
          <w:rFonts w:ascii="Arial" w:hAnsi="Arial" w:cs="Arial"/>
          <w:sz w:val="24"/>
          <w:sz-cs w:val="24"/>
          <w:color w:val="181E2A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GW CORE, PostgreSQL e IPFS con escritura, lectura y recuperación tras reinicio.</w:t>
      </w:r>
    </w:p>
    <w:p>
      <w:pPr>
        <w:ind w:left="720" w:first-line="-720"/>
      </w:pPr>
      <w:r>
        <w:rPr>
          <w:rFonts w:ascii="Arial" w:hAnsi="Arial" w:cs="Arial"/>
          <w:sz w:val="24"/>
          <w:sz-cs w:val="24"/>
          <w:color w:val="181E2A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Instalación real mediante kind y Helm de un peer del Host2MSP recién admitido, CouchDB, GW CORE, PostgreSQL, IPFS y nueve runtimes CCAAS.</w:t>
      </w:r>
    </w:p>
    <w:p>
      <w:pPr>
        <w:ind w:left="720" w:first-line="-720"/>
      </w:pPr>
      <w:r>
        <w:rPr>
          <w:rFonts w:ascii="Arial" w:hAnsi="Arial" w:cs="Arial"/>
          <w:sz w:val="24"/>
          <w:sz-cs w:val="24"/>
          <w:color w:val="181E2A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Unión del peer Kubernetes a los canales locales, instalación y aprobación de los paquetes CCAAS exactos.</w:t>
      </w:r>
    </w:p>
    <w:p>
      <w:pPr>
        <w:ind w:left="720" w:first-line="-720"/>
      </w:pPr>
      <w:r>
        <w:rPr>
          <w:rFonts w:ascii="Arial" w:hAnsi="Arial" w:cs="Arial"/>
          <w:sz w:val="24"/>
          <w:sz-cs w:val="24"/>
          <w:color w:val="181E2A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El SHA-256 del identificador de la misma Host VC queda vinculado a los certificados del peer y del cliente GW; GW firma como Host2MSP y se dirige al peer Kubernetes de ese MSP, con persistencia y nueva capacidad de endoso tras reiniciar GW, peer y CCAAS.</w:t>
      </w:r>
    </w:p>
    <w:p>
      <w:pPr>
        <w:ind w:left="720" w:first-line="-720"/>
      </w:pPr>
      <w:r>
        <w:rPr>
          <w:rFonts w:ascii="Arial" w:hAnsi="Arial" w:cs="Arial"/>
          <w:sz w:val="24"/>
          <w:sz-cs w:val="24"/>
          <w:color w:val="181E2A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Acceso consentido y controles negativos de acceso no autorizado.</w:t>
      </w:r>
    </w:p>
    <w:p>
      <w:pPr/>
      <w:r>
        <w:rPr>
          <w:rFonts w:ascii="Arial" w:hAnsi="Arial" w:cs="Arial"/>
          <w:sz w:val="24"/>
          <w:sz-cs w:val="24"/>
          <w:b/>
          <w:spacing w:val="0"/>
          <w:color w:val="181E2A"/>
        </w:rPr>
        <w:t xml:space="preserve">Separación comprobada:</w:t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 Docker mantiene la ICA de Fabric, el orderer y un peer de referencia como red externa. El peer desplegado por Helm se une a esa red y el GW endosa exclusivamente mediante ese peer Kubernetes; la ruta al peer Docker solo se usa para gossip/bootstrap.</w:t>
      </w:r>
    </w:p>
    <w:p>
      <w:pPr>
        <w:spacing w:after="298"/>
      </w:pPr>
      <w:r>
        <w:rPr>
          <w:rFonts w:ascii="Arial" w:hAnsi="Arial" w:cs="Arial"/>
          <w:sz w:val="36"/>
          <w:sz-cs w:val="36"/>
          <w:b/>
          <w:spacing w:val="0"/>
          <w:color w:val="15486C"/>
        </w:rPr>
        <w:t xml:space="preserve">4. Qué hace realmente la puerta Kubernetes</w:t>
      </w:r>
    </w:p>
    <w:p>
      <w:pPr>
        <w:spacing w:after="240"/>
      </w:pPr>
      <w:r>
        <w:rPr>
          <w:rFonts w:ascii="Arial" w:hAnsi="Arial" w:cs="Arial"/>
          <w:sz w:val="24"/>
          <w:sz-cs w:val="24"/>
          <w:spacing w:val="0"/>
          <w:color w:val="181E2A"/>
        </w:rPr>
        <w:t xml:space="preserve">La prueba ya no se limita a </w:t>
      </w:r>
      <w:r>
        <w:rPr>
          <w:rFonts w:ascii="Menlo" w:hAnsi="Menlo" w:cs="Menlo"/>
          <w:sz w:val="26"/>
          <w:sz-cs w:val="26"/>
          <w:spacing w:val="0"/>
          <w:color w:val="181E2A"/>
        </w:rPr>
        <w:t xml:space="preserve">helm template</w:t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. Crea un clúster kind aislado, namespace y Secrets; carga la imagen aprobada; ejecuta </w:t>
      </w:r>
      <w:r>
        <w:rPr>
          <w:rFonts w:ascii="Menlo" w:hAnsi="Menlo" w:cs="Menlo"/>
          <w:sz w:val="26"/>
          <w:sz-cs w:val="26"/>
          <w:spacing w:val="0"/>
          <w:color w:val="181E2A"/>
        </w:rPr>
        <w:t xml:space="preserve">helm upgrade --install</w:t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; espera el rollout; realiza operaciones E2E; comprueba canales y CouchDB; consulta PostgreSQL e IPFS dentro de los pods; instala y aprueba los nueve paquetes CCAAS en el peer Kubernetes; ejecuta Consent y SMART mediante ese peer; reinicia GW, peer y CCAAS y comprueba la recuperación. </w:t>
      </w:r>
      <w:r>
        <w:rPr>
          <w:rFonts w:ascii="Menlo" w:hAnsi="Menlo" w:cs="Menlo"/>
          <w:sz w:val="26"/>
          <w:sz-cs w:val="26"/>
          <w:spacing w:val="0"/>
          <w:color w:val="181E2A"/>
        </w:rPr>
        <w:t xml:space="preserve">helm template</w:t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 permanece como comprobación estática complementaria.</w:t>
      </w:r>
    </w:p>
    <w:p>
      <w:pPr>
        <w:spacing w:after="298"/>
      </w:pPr>
      <w:r>
        <w:rPr>
          <w:rFonts w:ascii="Arial" w:hAnsi="Arial" w:cs="Arial"/>
          <w:sz w:val="36"/>
          <w:sz-cs w:val="36"/>
          <w:b/>
          <w:spacing w:val="0"/>
          <w:color w:val="15486C"/>
        </w:rPr>
        <w:t xml:space="preserve">5. Promoción del mismo chart</w:t>
      </w:r>
    </w:p>
    <w:p>
      <w:pPr>
        <w:jc w:val="center"/>
      </w:pPr>
      <w:r>
        <w:rPr>
          <w:rFonts w:ascii="Arial" w:hAnsi="Arial" w:cs="Arial"/>
          <w:sz w:val="24"/>
          <w:sz-cs w:val="24"/>
          <w:b/>
          <w:spacing w:val="0"/>
          <w:color w:val="181E2A"/>
        </w:rPr>
        <w:t xml:space="preserve">Entorno</w:t>
      </w:r>
    </w:p>
    <w:p>
      <w:pPr>
        <w:jc w:val="center"/>
      </w:pPr>
      <w:r>
        <w:rPr>
          <w:rFonts w:ascii="Arial" w:hAnsi="Arial" w:cs="Arial"/>
          <w:sz w:val="24"/>
          <w:sz-cs w:val="24"/>
          <w:b/>
          <w:spacing w:val="0"/>
          <w:color w:val="181E2A"/>
        </w:rPr>
        <w:t xml:space="preserve">Chart</w:t>
      </w:r>
    </w:p>
    <w:p>
      <w:pPr>
        <w:jc w:val="center"/>
      </w:pPr>
      <w:r>
        <w:rPr>
          <w:rFonts w:ascii="Arial" w:hAnsi="Arial" w:cs="Arial"/>
          <w:sz w:val="24"/>
          <w:sz-cs w:val="24"/>
          <w:b/>
          <w:spacing w:val="0"/>
          <w:color w:val="181E2A"/>
        </w:rPr>
        <w:t xml:space="preserve">Diferencias</w:t>
      </w:r>
    </w:p>
    <w:p>
      <w:pPr/>
      <w:r>
        <w:rPr>
          <w:rFonts w:ascii="Arial" w:hAnsi="Arial" w:cs="Arial"/>
          <w:sz w:val="24"/>
          <w:sz-cs w:val="24"/>
          <w:spacing w:val="0"/>
          <w:color w:val="181E2A"/>
        </w:rPr>
        <w:t xml:space="preserve">local-network</w:t>
      </w:r>
    </w:p>
    <w:p>
      <w:pPr/>
      <w:r>
        <w:rPr>
          <w:rFonts w:ascii="Arial" w:hAnsi="Arial" w:cs="Arial"/>
          <w:sz w:val="24"/>
          <w:sz-cs w:val="24"/>
          <w:spacing w:val="0"/>
          <w:color w:val="181E2A"/>
        </w:rPr>
        <w:t xml:space="preserve">gdc-host</w:t>
      </w:r>
    </w:p>
    <w:p>
      <w:pPr/>
      <w:r>
        <w:rPr>
          <w:rFonts w:ascii="Arial" w:hAnsi="Arial" w:cs="Arial"/>
          <w:sz w:val="24"/>
          <w:sz-cs w:val="24"/>
          <w:spacing w:val="0"/>
          <w:color w:val="181E2A"/>
        </w:rPr>
        <w:t xml:space="preserve">Imágenes y autoridades locales, DNS .localhost y StorageClass de kind.</w:t>
      </w:r>
    </w:p>
    <w:p>
      <w:pPr/>
      <w:r>
        <w:rPr>
          <w:rFonts w:ascii="Arial" w:hAnsi="Arial" w:cs="Arial"/>
          <w:sz w:val="24"/>
          <w:sz-cs w:val="24"/>
          <w:spacing w:val="0"/>
          <w:color w:val="181E2A"/>
        </w:rPr>
        <w:t xml:space="preserve">test-network</w:t>
      </w:r>
    </w:p>
    <w:p>
      <w:pPr/>
      <w:r>
        <w:rPr>
          <w:rFonts w:ascii="Arial" w:hAnsi="Arial" w:cs="Arial"/>
          <w:sz w:val="24"/>
          <w:sz-cs w:val="24"/>
          <w:spacing w:val="0"/>
          <w:color w:val="181E2A"/>
        </w:rPr>
        <w:t xml:space="preserve">gdc-host</w:t>
      </w:r>
    </w:p>
    <w:p>
      <w:pPr/>
      <w:r>
        <w:rPr>
          <w:rFonts w:ascii="Arial" w:hAnsi="Arial" w:cs="Arial"/>
          <w:sz w:val="24"/>
          <w:sz-cs w:val="24"/>
          <w:spacing w:val="0"/>
          <w:color w:val="181E2A"/>
        </w:rPr>
        <w:t xml:space="preserve">Digests publicados, autoridades de staging, DNS/TLS y almacenamiento cloud.</w:t>
      </w:r>
    </w:p>
    <w:p>
      <w:pPr/>
      <w:r>
        <w:rPr>
          <w:rFonts w:ascii="Arial" w:hAnsi="Arial" w:cs="Arial"/>
          <w:sz w:val="24"/>
          <w:sz-cs w:val="24"/>
          <w:spacing w:val="0"/>
          <w:color w:val="181E2A"/>
        </w:rPr>
        <w:t xml:space="preserve">Producción</w:t>
      </w:r>
    </w:p>
    <w:p>
      <w:pPr/>
      <w:r>
        <w:rPr>
          <w:rFonts w:ascii="Arial" w:hAnsi="Arial" w:cs="Arial"/>
          <w:sz w:val="24"/>
          <w:sz-cs w:val="24"/>
          <w:spacing w:val="0"/>
          <w:color w:val="181E2A"/>
        </w:rPr>
        <w:t xml:space="preserve">gdc-host</w:t>
      </w:r>
    </w:p>
    <w:p>
      <w:pPr/>
      <w:r>
        <w:rPr>
          <w:rFonts w:ascii="Arial" w:hAnsi="Arial" w:cs="Arial"/>
          <w:sz w:val="24"/>
          <w:sz-cs w:val="24"/>
          <w:spacing w:val="0"/>
          <w:color w:val="181E2A"/>
        </w:rPr>
        <w:t xml:space="preserve">Host VC y certificados nuevos, digests aprobados, KMS y values del proveedor.</w:t>
      </w:r>
    </w:p>
    <w:p>
      <w:pPr>
        <w:spacing w:after="240"/>
      </w:pPr>
      <w:r>
        <w:rPr>
          <w:rFonts w:ascii="Arial" w:hAnsi="Arial" w:cs="Arial"/>
          <w:sz w:val="24"/>
          <w:sz-cs w:val="24"/>
          <w:spacing w:val="0"/>
          <w:color w:val="181E2A"/>
        </w:rPr>
        <w:t xml:space="preserve">No se reutilizan MSP, TLS, claves, Secrets, grants ni credenciales verificables entre entornos. Se reutilizan el chart, su estructura de configuración y las versiones o digests aprobados.</w:t>
      </w:r>
    </w:p>
    <w:p>
      <w:pPr>
        <w:spacing w:after="298"/>
      </w:pPr>
      <w:r>
        <w:rPr>
          <w:rFonts w:ascii="Arial" w:hAnsi="Arial" w:cs="Arial"/>
          <w:sz w:val="36"/>
          <w:sz-cs w:val="36"/>
          <w:b/>
          <w:spacing w:val="0"/>
          <w:color w:val="15486C"/>
        </w:rPr>
        <w:t xml:space="preserve">6. Responsabilidad de Helm</w:t>
      </w:r>
    </w:p>
    <w:p>
      <w:pPr>
        <w:spacing w:after="240"/>
      </w:pPr>
      <w:r>
        <w:rPr>
          <w:rFonts w:ascii="Arial" w:hAnsi="Arial" w:cs="Arial"/>
          <w:sz w:val="24"/>
          <w:sz-cs w:val="24"/>
          <w:spacing w:val="0"/>
          <w:color w:val="181E2A"/>
        </w:rPr>
        <w:t xml:space="preserve">Helm no crea la red Fabric, no actúa como administrador de ninguna ICA y no decide qué MSP entra en los canales. Antes de instalar un host autónomo deben existir la autorización, el grant de enrolamiento, el material MSP/TLS generado por el host, la incorporación gobernada a los canales y los Secrets Kubernetes. La reconciliación privilegiada se ejecuta por la autoridad.</w:t>
      </w:r>
    </w:p>
    <w:p>
      <w:pPr>
        <w:spacing w:after="240"/>
      </w:pPr>
      <w:r>
        <w:rPr>
          <w:rFonts w:ascii="Arial" w:hAnsi="Arial" w:cs="Arial"/>
          <w:sz w:val="24"/>
          <w:sz-cs w:val="24"/>
          <w:spacing w:val="0"/>
          <w:color w:val="181E2A"/>
        </w:rPr>
        <w:t xml:space="preserve">La autorización exige una </w:t>
      </w:r>
      <w:r>
        <w:rPr>
          <w:rFonts w:ascii="Menlo" w:hAnsi="Menlo" w:cs="Menlo"/>
          <w:sz w:val="26"/>
          <w:sz-cs w:val="26"/>
          <w:spacing w:val="0"/>
          <w:color w:val="181E2A"/>
        </w:rPr>
        <w:t xml:space="preserve">HostingServiceCredential</w:t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 también en local-network y test-network. «Sin PDF» significa que la ICA del espacio de datos puede emitir esa VC para un host preautorizado; no significa omitir la credencial. La ICA de Fabric registra después un identificador limitado a dos enrolamientos, uno MSP y otro TLS, y otro identificador de un solo uso para la identidad cliente del GW. Las tres claves privadas se generan dentro del host. El helper aplica </w:t>
      </w:r>
      <w:r>
        <w:rPr>
          <w:rFonts w:ascii="Menlo" w:hAnsi="Menlo" w:cs="Menlo"/>
          <w:sz w:val="26"/>
          <w:sz-cs w:val="26"/>
          <w:spacing w:val="0"/>
          <w:color w:val="181E2A"/>
        </w:rPr>
        <w:t xml:space="preserve">issuedAt/expiresAt</w:t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; la autoridad debe revocar el identificador no consumido porque Fabric CA garantiza el límite de usos, no esa fecha.</w:t>
      </w:r>
    </w:p>
    <w:p>
      <w:pPr>
        <w:spacing w:after="298"/>
      </w:pPr>
      <w:r>
        <w:rPr>
          <w:rFonts w:ascii="Arial" w:hAnsi="Arial" w:cs="Arial"/>
          <w:sz w:val="36"/>
          <w:sz-cs w:val="36"/>
          <w:b/>
          <w:spacing w:val="0"/>
          <w:color w:val="15486C"/>
        </w:rPr>
        <w:t xml:space="preserve">7. Datos requeridos al proveedor</w:t>
      </w:r>
    </w:p>
    <w:p>
      <w:pPr>
        <w:ind w:left="720" w:first-line="-720"/>
      </w:pPr>
      <w:r>
        <w:rPr>
          <w:rFonts w:ascii="Arial" w:hAnsi="Arial" w:cs="Arial"/>
          <w:sz w:val="24"/>
          <w:sz-cs w:val="24"/>
          <w:color w:val="181E2A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Versión de Kubernetes, namespace, StorageClass e IngressClass.</w:t>
      </w:r>
    </w:p>
    <w:p>
      <w:pPr>
        <w:ind w:left="720" w:first-line="-720"/>
      </w:pPr>
      <w:r>
        <w:rPr>
          <w:rFonts w:ascii="Arial" w:hAnsi="Arial" w:cs="Arial"/>
          <w:sz w:val="24"/>
          <w:sz-cs w:val="24"/>
          <w:color w:val="181E2A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DNS, TLS, reglas de red y registro de imágenes.</w:t>
      </w:r>
    </w:p>
    <w:p>
      <w:pPr>
        <w:ind w:left="720" w:first-line="-720"/>
      </w:pPr>
      <w:r>
        <w:rPr>
          <w:rFonts w:ascii="Arial" w:hAnsi="Arial" w:cs="Arial"/>
          <w:sz w:val="24"/>
          <w:sz-cs w:val="24"/>
          <w:color w:val="181E2A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PVC, backups, restauración y observabilidad.</w:t>
      </w:r>
    </w:p>
    <w:p>
      <w:pPr>
        <w:ind w:left="720" w:first-line="-720"/>
      </w:pPr>
      <w:r>
        <w:rPr>
          <w:rFonts w:ascii="Arial" w:hAnsi="Arial" w:cs="Arial"/>
          <w:sz w:val="24"/>
          <w:sz-cs w:val="24"/>
          <w:color w:val="181E2A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Gestor de secretos y custodia externa del KEK.</w:t>
      </w:r>
    </w:p>
    <w:p>
      <w:pPr>
        <w:ind w:left="720" w:first-line="-720"/>
      </w:pPr>
      <w:r>
        <w:rPr>
          <w:rFonts w:ascii="Arial" w:hAnsi="Arial" w:cs="Arial"/>
          <w:sz w:val="24"/>
          <w:sz-cs w:val="24"/>
          <w:color w:val="181E2A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Valores no secretos del release y canal seguro para grants y Secrets.</w:t>
      </w:r>
    </w:p>
    <w:p>
      <w:pPr>
        <w:spacing w:after="298"/>
      </w:pPr>
      <w:r>
        <w:rPr>
          <w:rFonts w:ascii="Arial" w:hAnsi="Arial" w:cs="Arial"/>
          <w:sz w:val="36"/>
          <w:sz-cs w:val="36"/>
          <w:b/>
          <w:spacing w:val="0"/>
          <w:color w:val="15486C"/>
        </w:rPr>
        <w:t xml:space="preserve">8. Criterio de presentación</w:t>
      </w:r>
    </w:p>
    <w:p>
      <w:pPr>
        <w:spacing w:after="240"/>
      </w:pPr>
      <w:r>
        <w:rPr>
          <w:rFonts w:ascii="Arial" w:hAnsi="Arial" w:cs="Arial"/>
          <w:sz w:val="24"/>
          <w:sz-cs w:val="24"/>
          <w:spacing w:val="0"/>
          <w:color w:val="181E2A"/>
        </w:rPr>
        <w:t xml:space="preserve">La memoria puede afirmar que la red Fabric local y el despliegue Kubernetes con peer, CouchDB, GW CORE, PostgreSQL, IPFS y CCAAS se han probado de forma reproducible, incluido el lifecycle CCAAS y el E2E del GW contra el peer Kubernetes. La promoción a otra red conserva el chart, pero exige nuevas credenciales, Secrets, digests, values y reconciliación gobernada.</w:t>
      </w:r>
    </w:p>
    <w:p>
      <w:pPr>
        <w:spacing w:after="298"/>
      </w:pPr>
      <w:r>
        <w:rPr>
          <w:rFonts w:ascii="Arial" w:hAnsi="Arial" w:cs="Arial"/>
          <w:sz w:val="36"/>
          <w:sz-cs w:val="36"/>
          <w:b/>
          <w:spacing w:val="0"/>
          <w:color w:val="15486C"/>
        </w:rPr>
        <w:t xml:space="preserve">9. Prueba completa del auditor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export REPO_ROOT="$(pwd)"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export DATASPACE_CA_ROOT="/ruta/al/checkout/dataspace-ca-ts"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export DATASPACE_ICA_ROOT="/ruta/al/checkout/dataspace-ica-ts"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cd "${REPO_ROOT}"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npm ci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release_tag="$(node -p "require('./package.json').version")-$(git rev-parse --short HEAD)"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export IMAGE_NAME="gw-core:${release_tag}"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LOCAL_IMAGE_NAME="${IMAGE_NAME}" ./docker_build_local.sh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npm run evidence:open-source-production-readiness</w:t>
      </w:r>
    </w:p>
    <w:p>
      <w:pPr>
        <w:spacing w:after="240"/>
      </w:pPr>
      <w:r>
        <w:rPr>
          <w:rFonts w:ascii="Arial" w:hAnsi="Arial" w:cs="Arial"/>
          <w:sz w:val="24"/>
          <w:sz-cs w:val="24"/>
          <w:spacing w:val="0"/>
          <w:color w:val="181E2A"/>
        </w:rPr>
        <w:t xml:space="preserve">El auditor conserva el directorio anunciado bajo </w:t>
      </w:r>
      <w:r>
        <w:rPr>
          <w:rFonts w:ascii="Menlo" w:hAnsi="Menlo" w:cs="Menlo"/>
          <w:sz w:val="26"/>
          <w:sz-cs w:val="26"/>
          <w:spacing w:val="0"/>
          <w:color w:val="181E2A"/>
        </w:rPr>
        <w:t xml:space="preserve">artifacts/open-source-production-readiness/</w:t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, comprueba todos los estados </w:t>
      </w:r>
      <w:r>
        <w:rPr>
          <w:rFonts w:ascii="Menlo" w:hAnsi="Menlo" w:cs="Menlo"/>
          <w:sz w:val="26"/>
          <w:sz-cs w:val="26"/>
          <w:spacing w:val="0"/>
          <w:color w:val="181E2A"/>
        </w:rPr>
        <w:t xml:space="preserve">PASS</w:t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 y verifica los hashes. Ningún grant, token, PDF, clave, IP o fichero env forma parte de la evidencia pública.</w:t>
      </w:r>
    </w:p>
    <w:p>
      <w:pPr>
        <w:spacing w:after="240"/>
      </w:pPr>
      <w:r>
        <w:rPr>
          <w:rFonts w:ascii="Arial" w:hAnsi="Arial" w:cs="Arial"/>
          <w:sz w:val="24"/>
          <w:sz-cs w:val="24"/>
          <w:spacing w:val="0"/>
          <w:color w:val="181E2A"/>
        </w:rPr>
        <w:t xml:space="preserve">La puerta </w:t>
      </w:r>
      <w:r>
        <w:rPr>
          <w:rFonts w:ascii="Menlo" w:hAnsi="Menlo" w:cs="Menlo"/>
          <w:sz w:val="26"/>
          <w:sz-cs w:val="26"/>
          <w:spacing w:val="0"/>
          <w:color w:val="181E2A"/>
        </w:rPr>
        <w:t xml:space="preserve">21-dataspace-ica-postgres-ipfs-migration</w:t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 ejecuta el migrador open source de Firestore/GCS a PostgreSQL/IPFS contra Firestore Emulator, PostgreSQL y Kubo reales. Utiliza solo datos sintéticos, relee los registros y CIDs migrados, exige cero referencias GCS pendientes y compara los digests de origen transformado y destino. Los documentos firmados, datos personales y claves reales nunca se publican.</w:t>
      </w:r>
    </w:p>
    <w:p>
      <w:pPr>
        <w:spacing w:after="298"/>
      </w:pPr>
      <w:r>
        <w:rPr>
          <w:rFonts w:ascii="Arial" w:hAnsi="Arial" w:cs="Arial"/>
          <w:sz w:val="36"/>
          <w:sz-cs w:val="36"/>
          <w:b/>
          <w:spacing w:val="0"/>
          <w:color w:val="15486C"/>
        </w:rPr>
        <w:t xml:space="preserve">10. Fases de autorización y enrolamiento</w:t>
      </w:r>
    </w:p>
    <w:p>
      <w:pPr>
        <w:spacing w:after="240"/>
      </w:pPr>
      <w:r>
        <w:rPr>
          <w:rFonts w:ascii="Arial" w:hAnsi="Arial" w:cs="Arial"/>
          <w:sz w:val="24"/>
          <w:sz-cs w:val="24"/>
          <w:spacing w:val="0"/>
          <w:color w:val="181E2A"/>
        </w:rPr>
        <w:t xml:space="preserve">La ICA de Fabric se usa para altas, renovaciones y revocaciones, no para el tráfico normal de peers y orderers. La autoridad puede publicar una ventana TLS limitada a la IP de salida del proveedor y cerrarla después. El proveedor recibe URL, nombre de CA y cadena pública, pero nunca la identidad registradora de la ICA de Fabric. Antes del enrolamiento verifica: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fabric-ca-client getcainfo \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  -u "${FABRIC_CA_URL}" \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  --caname "${FABRIC_CA_NAME}" \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  --tls.certfiles "${FABRIC_CA_TLS_CERTFILES}"</w:t>
      </w:r>
    </w:p>
    <w:p>
      <w:pPr>
        <w:spacing w:after="240"/>
      </w:pPr>
      <w:r>
        <w:rPr>
          <w:rFonts w:ascii="Arial" w:hAnsi="Arial" w:cs="Arial"/>
          <w:sz w:val="24"/>
          <w:sz-cs w:val="24"/>
          <w:spacing w:val="0"/>
          <w:color w:val="181E2A"/>
        </w:rPr>
        <w:t xml:space="preserve">La autoridad recibe por canal seguro la petición con URL, MSP, Host VC-JWT, decisión firmada, DID públicos, JWKS e inventario gobernado. Ejecuta: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request_id="$(jq -r '.governanceDecision.decision.requestId' \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  /secure/approvals/host-enrollment-request.json)"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node scripts/onboarding/host-onboarding-assistant.mjs \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  --manifest /secure/onboarding/onboarding.json --role authority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node scripts/onboarding/host-onboarding-assistant.mjs \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  --manifest /secure/onboarding/onboarding.json --role authority \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  --apply --confirm-request "${request_id}"</w:t>
      </w:r>
    </w:p>
    <w:p>
      <w:pPr>
        <w:spacing w:after="240"/>
      </w:pPr>
      <w:r>
        <w:rPr>
          <w:rFonts w:ascii="Arial" w:hAnsi="Arial" w:cs="Arial"/>
          <w:sz w:val="24"/>
          <w:sz-cs w:val="24"/>
          <w:spacing w:val="0"/>
          <w:color w:val="181E2A"/>
        </w:rPr>
        <w:t xml:space="preserve">El proveedor recibe únicamente el grant 0600 y la cadena TLS pública de Fabric CA. Las claves se crean en su infraestructura: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node scripts/onboarding/host-onboarding-assistant.mjs \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  --manifest /secure/onboarding/onboarding.json --role host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node scripts/onboarding/host-onboarding-assistant.mjs \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  --manifest /secure/onboarding/onboarding.json --role host \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  --apply --confirm-request "${request_id}"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cd /secure/host/helm-runtime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shasum -a 256 -c manifest.sha256</w:t>
      </w:r>
    </w:p>
    <w:p>
      <w:pPr>
        <w:spacing w:after="240"/>
      </w:pPr>
      <w:r>
        <w:rPr>
          <w:rFonts w:ascii="Arial" w:hAnsi="Arial" w:cs="Arial"/>
          <w:sz w:val="24"/>
          <w:sz-cs w:val="24"/>
          <w:spacing w:val="0"/>
          <w:color w:val="181E2A"/>
        </w:rPr>
        <w:t xml:space="preserve">Para auditar los dos enrolamientos por separado se usan los mismos helpers con variables explícitas: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ENROLLMENT_GRANT_FILE=/secure/grants/peer-grant.json \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HOST_MSP_OUTPUT_DIR=/secure/host/fabric-peer \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HOST_PEER_DNS="${HOST_PEER_DNS}" \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CA_TLS_CERT=/secure/trust/fabric-ica-ca-chain.pem \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  bash scripts/enrollment/enroll-host-msp.sh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ENROLLMENT_GRANT_FILE=/secure/grants/gw-client-grant.json \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HOST_CLIENT_OUTPUT_DIR=/secure/host/fabric-gw-client \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CA_TLS_CERT=/secure/trust/fabric-ica-ca-chain.pem \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  bash scripts/enrollment/enroll-host-client.sh</w:t>
      </w:r>
    </w:p>
    <w:p>
      <w:pPr>
        <w:spacing w:after="240"/>
      </w:pPr>
      <w:r>
        <w:rPr>
          <w:rFonts w:ascii="Arial" w:hAnsi="Arial" w:cs="Arial"/>
          <w:sz w:val="24"/>
          <w:sz-cs w:val="24"/>
          <w:spacing w:val="0"/>
          <w:color w:val="181E2A"/>
        </w:rPr>
        <w:t xml:space="preserve">El paquete resultante contiene solo </w:t>
      </w:r>
      <w:r>
        <w:rPr>
          <w:rFonts w:ascii="Menlo" w:hAnsi="Menlo" w:cs="Menlo"/>
          <w:sz w:val="26"/>
          <w:sz-cs w:val="26"/>
          <w:spacing w:val="0"/>
          <w:color w:val="181E2A"/>
        </w:rPr>
        <w:t xml:space="preserve">msp.tgz</w:t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, </w:t>
      </w:r>
      <w:r>
        <w:rPr>
          <w:rFonts w:ascii="Menlo" w:hAnsi="Menlo" w:cs="Menlo"/>
          <w:sz w:val="26"/>
          <w:sz-cs w:val="26"/>
          <w:spacing w:val="0"/>
          <w:color w:val="181E2A"/>
        </w:rPr>
        <w:t xml:space="preserve">tls.tgz</w:t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, </w:t>
      </w:r>
      <w:r>
        <w:rPr>
          <w:rFonts w:ascii="Menlo" w:hAnsi="Menlo" w:cs="Menlo"/>
          <w:sz w:val="26"/>
          <w:sz-cs w:val="26"/>
          <w:spacing w:val="0"/>
          <w:color w:val="181E2A"/>
        </w:rPr>
        <w:t xml:space="preserve">authorization.json</w:t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 y </w:t>
      </w:r>
      <w:r>
        <w:rPr>
          <w:rFonts w:ascii="Menlo" w:hAnsi="Menlo" w:cs="Menlo"/>
          <w:sz w:val="26"/>
          <w:sz-cs w:val="26"/>
          <w:spacing w:val="0"/>
          <w:color w:val="181E2A"/>
        </w:rPr>
        <w:t xml:space="preserve">manifest.sha256</w:t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.</w:t>
      </w:r>
    </w:p>
    <w:p>
      <w:pPr>
        <w:spacing w:after="298"/>
      </w:pPr>
      <w:r>
        <w:rPr>
          <w:rFonts w:ascii="Arial" w:hAnsi="Arial" w:cs="Arial"/>
          <w:sz w:val="36"/>
          <w:sz-cs w:val="36"/>
          <w:b/>
          <w:spacing w:val="0"/>
          <w:color w:val="15486C"/>
        </w:rPr>
        <w:t xml:space="preserve">11. Imagen OCI, values y package IDs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helm pull oci://ghcr.io/global-datacare/gdc-host --version 0.3.1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helm show chart oci://ghcr.io/global-datacare/gdc-host --version 0.3.1</w:t>
      </w:r>
    </w:p>
    <w:p>
      <w:pPr>
        <w:spacing w:after="240"/>
      </w:pPr>
      <w:r>
        <w:rPr>
          <w:rFonts w:ascii="Arial" w:hAnsi="Arial" w:cs="Arial"/>
          <w:sz w:val="24"/>
          <w:sz-cs w:val="24"/>
          <w:spacing w:val="0"/>
          <w:color w:val="181E2A"/>
        </w:rPr>
        <w:t xml:space="preserve">El chart OCI es el mismo artefacto validado en local-network. Los values, Secrets, grants, MSP/TLS y package IDs se generan de nuevo para cada entorno.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export GW_PUBLIC_IMAGE="ghcr.io/global-datacare/gw-core@sha256:724ba328915d9907d7254c7eeded845d70dc1ae05881bccff630e871fbc7389f"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export CCAAS_PUBLIC_IMAGE="ghcr.io/global-datacare/host-runtime@sha256:67e5c0fb93efbdc79812a3579ea0b9b0d8e230fca8d430c72e81666a7389f7ac"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docker buildx imagetools inspect "${GW_PUBLIC_IMAGE}"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docker buildx imagetools inspect "${CCAAS_PUBLIC_IMAGE}"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docker pull "${GW_PUBLIC_IMAGE}"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docker pull "${CCAAS_PUBLIC_IMAGE}"</w:t>
      </w:r>
    </w:p>
    <w:p>
      <w:pPr>
        <w:spacing w:after="240"/>
      </w:pPr>
      <w:r>
        <w:rPr>
          <w:rFonts w:ascii="Arial" w:hAnsi="Arial" w:cs="Arial"/>
          <w:sz w:val="24"/>
          <w:sz-cs w:val="24"/>
          <w:spacing w:val="0"/>
          <w:color w:val="181E2A"/>
        </w:rPr>
        <w:t xml:space="preserve">GW CORE es un servicio y no se publica en npm. El values de GW usa su digest OCI. Cada entrada CCAAS usa el digest del runtime común y un paquete cuya dirección sea el Service exacto del release. El package ID es </w:t>
      </w:r>
      <w:r>
        <w:rPr>
          <w:rFonts w:ascii="Menlo" w:hAnsi="Menlo" w:cs="Menlo"/>
          <w:sz w:val="26"/>
          <w:sz-cs w:val="26"/>
          <w:spacing w:val="0"/>
          <w:color w:val="181E2A"/>
        </w:rPr>
        <w:t xml:space="preserve">&lt;label&gt;:&lt;sha256 del .tgz&gt;</w:t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; cualquier cambio de Service, release, puerto o TLS obliga a regenerarlo.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HOST_FULLNAME="${HELM_RELEASE}" \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KUBE_NAMESPACE="${KUBE_NAMESPACE}" \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CCAAS_IMAGE="${CCAAS_PUBLIC_IMAGE}" \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CCAAS_OUTPUT_DIR=/secure/onboarding/ccaas \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  bash scripts/onboarding/prepare-ccaas-packages.sh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shasum -a 256 -c /secure/onboarding/ccaas/manifest.sha256</w:t>
      </w:r>
    </w:p>
    <w:p>
      <w:pPr>
        <w:spacing w:after="240"/>
      </w:pPr>
      <w:r>
        <w:rPr>
          <w:rFonts w:ascii="Arial" w:hAnsi="Arial" w:cs="Arial"/>
          <w:sz w:val="24"/>
          <w:sz-cs w:val="24"/>
          <w:spacing w:val="0"/>
          <w:color w:val="181E2A"/>
        </w:rPr>
        <w:t xml:space="preserve">El resultado contiene nueve archivos, sus package IDs en </w:t>
      </w:r>
      <w:r>
        <w:rPr>
          <w:rFonts w:ascii="Menlo" w:hAnsi="Menlo" w:cs="Menlo"/>
          <w:sz w:val="26"/>
          <w:sz-cs w:val="26"/>
          <w:spacing w:val="0"/>
          <w:color w:val="181E2A"/>
        </w:rPr>
        <w:t xml:space="preserve">manifest.tsv</w:t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 y el fragmento </w:t>
      </w:r>
      <w:r>
        <w:rPr>
          <w:rFonts w:ascii="Menlo" w:hAnsi="Menlo" w:cs="Menlo"/>
          <w:sz w:val="26"/>
          <w:sz-cs w:val="26"/>
          <w:spacing w:val="0"/>
          <w:color w:val="181E2A"/>
        </w:rPr>
        <w:t xml:space="preserve">chaincodes.values.yaml</w:t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.</w:t>
      </w:r>
    </w:p>
    <w:p>
      <w:pPr>
        <w:spacing w:after="298"/>
      </w:pPr>
      <w:r>
        <w:rPr>
          <w:rFonts w:ascii="Arial" w:hAnsi="Arial" w:cs="Arial"/>
          <w:sz w:val="36"/>
          <w:sz-cs w:val="36"/>
          <w:b/>
          <w:spacing w:val="0"/>
          <w:color w:val="15486C"/>
        </w:rPr>
        <w:t xml:space="preserve">12. Secrets e instalación Kubernetes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export KUBE_CONTEXT="contexto-del-cluster"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export KUBE_NAMESPACE="namespace-del-host"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export HELM_RELEASE="nombre-del-host"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kubectl --context "${KUBE_CONTEXT}" create namespace "${KUBE_NAMESPACE}"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HOST_RUNTIME_DIR=/secure/host/helm-runtime \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POSTGRES_SECRET_ENV_FILE=/secure/host/postgresql.env \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COUCHDB_SECRET_ENV_FILE=/secure/host/couchdb.env \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GW_SECRET_ENV_FILE=/secure/host/gw.env \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REDIS_SECRET_ENV_FILE=/secure/host/redis.env \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  bash scripts/onboarding/materialize-kubernetes-secrets.sh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bash scripts/validate-host-helm-values.sh \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  /secure/inventory/host.values.yaml "${KUBE_NAMESPACE}" "${HELM_RELEASE}"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helm pull oci://ghcr.io/global-datacare/gdc-host --version 0.3.1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tar -xzf gdc-host-0.3.1.tgz -C /secure/onboarding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helm upgrade --install "${HELM_RELEASE}" /secure/onboarding/gdc-host \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  --kube-context "${KUBE_CONTEXT}" --namespace "${KUBE_NAMESPACE}" \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  --values /secure/inventory/host.values.yaml \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  --atomic --wait --timeout 15m</w:t>
      </w:r>
    </w:p>
    <w:p>
      <w:pPr>
        <w:spacing w:after="240"/>
      </w:pPr>
      <w:r>
        <w:rPr>
          <w:rFonts w:ascii="Arial" w:hAnsi="Arial" w:cs="Arial"/>
          <w:sz w:val="24"/>
          <w:sz-cs w:val="24"/>
          <w:spacing w:val="0"/>
          <w:color w:val="181E2A"/>
        </w:rPr>
        <w:t xml:space="preserve">Se materializan seis Secrets básicos —peer MSP, peer TLS, autorización, PostgreSQL, CouchDB y GW— y un séptimo si Redis está habilitado. Los values nunca contienen sus valores. En producción cada pod desenvuelve una vez la KEK mediante el adaptador KMS; una KEK plana solo es válida en local/demo.</w:t>
      </w:r>
    </w:p>
    <w:p>
      <w:pPr>
        <w:spacing w:after="298"/>
      </w:pPr>
      <w:r>
        <w:rPr>
          <w:rFonts w:ascii="Arial" w:hAnsi="Arial" w:cs="Arial"/>
          <w:sz w:val="36"/>
          <w:sz-cs w:val="36"/>
          <w:b/>
          <w:spacing w:val="0"/>
          <w:color w:val="15486C"/>
        </w:rPr>
        <w:t xml:space="preserve">13. Reconciliación y aceptación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node scripts/onboarding/host-onboarding-assistant.mjs \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  --manifest /secure/onboarding/onboarding.json --role platform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node scripts/onboarding/host-onboarding-assistant.mjs \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  --manifest /secure/onboarding/onboarding.json --role platform \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  --apply --confirm-request "${request_id}"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kubectl --context "${KUBE_CONTEXT}" -n "${KUBE_NAMESPACE}" get pods,pvc,svc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kubectl --context "${KUBE_CONTEXT}" -n "${KUBE_NAMESPACE}" rollout status \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  statefulset/"${HELM_RELEASE}"-peer --timeout=5m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kubectl --context "${KUBE_CONTEXT}" -n "${KUBE_NAMESPACE}" rollout status \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  deployment/"${HELM_RELEASE}"-gw --timeout=5m</w:t>
      </w:r>
    </w:p>
    <w:p>
      <w:pPr>
        <w:spacing w:after="240"/>
      </w:pPr>
      <w:r>
        <w:rPr>
          <w:rFonts w:ascii="Arial" w:hAnsi="Arial" w:cs="Arial"/>
          <w:sz w:val="24"/>
          <w:sz-cs w:val="24"/>
          <w:spacing w:val="0"/>
          <w:color w:val="181E2A"/>
        </w:rPr>
        <w:t xml:space="preserve">El mapa privado del operador contiene comandos reales de inspección y aplicación para MSP, grants, peer, canales y lifecycle CCAAS. Si falta uno, el reconciliador falla cerrado. La aceptación prueba escritura/lectura por el peer propio, permiso/denegación y persistencia tras reiniciar GW, peer y CCAAS; un pod arrancado no basta.</w:t>
      </w:r>
    </w:p>
    <w:p>
      <w:pPr>
        <w:spacing w:after="298"/>
      </w:pPr>
      <w:r>
        <w:rPr>
          <w:rFonts w:ascii="Arial" w:hAnsi="Arial" w:cs="Arial"/>
          <w:sz w:val="36"/>
          <w:sz-cs w:val="36"/>
          <w:b/>
          <w:spacing w:val="0"/>
          <w:color w:val="15486C"/>
        </w:rPr>
        <w:t xml:space="preserve">14. Material que se entrega</w:t>
      </w:r>
    </w:p>
    <w:p>
      <w:pPr>
        <w:spacing w:after="240"/>
      </w:pPr>
      <w:r>
        <w:rPr>
          <w:rFonts w:ascii="Arial" w:hAnsi="Arial" w:cs="Arial"/>
          <w:sz w:val="24"/>
          <w:sz-cs w:val="24"/>
          <w:spacing w:val="0"/>
          <w:color w:val="181E2A"/>
        </w:rPr>
        <w:t xml:space="preserve">Commit, digest OCI, chart, values saneado, versiones, gates, logs saneados, auditoría y manifiesto de hashes. Los datos reales del proveedor se mantienen en un anexo privado. La prueba local demuestra reproducibilidad del software; no declara desplegada una infraestructura externa concreta.</w:t>
      </w:r>
    </w:p>
    <w:sectPr/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CocoaOOXMLWriter/2685.6</generator>
</meta>
</file>