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de peer Host1MSP, CouchDB, GW CORE, PostgreSQL e IPFS mediante kind y Helm.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 y persistencia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Límite que debe declararse: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peer y CouchDB ya se ejecutan dentro de Kubernetes y el peer se une realmente a los canales externos. El GW usa todavía el peer Docker que ya dispone de chaincodes. Falta instalar los paquetes CCAAS en el peer kind y repetir el E2E contra ese peer para afirmar que el host Fabric autónomo completo está probado.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reinicia GW y peer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 e IPFS se han probado de forma reproducible. Debe marcar como pendiente el lifecycle CCAAS en el peer kind y el E2E del GW contra ese peer hasta que exista la evidencia correspondiente.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