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Imágenes OCI públicas verificadas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https://github.com/orgs/Global-DataCare/packages/container/package/gw-core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ghcr.io/global-datacare/gw-core@sha256:6b37c7dfea17dc2ee42628c5467fb5b44fe7f669536e695bd4f2932714485e5f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Runtime CCAAS: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https://github.com/orgs/Global-DataCare/packages/container/package/host-runtime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ghcr.io/global-datacare/host-runtime@sha256:67e5c0fb93efbdc79812a3579ea0b9b0d8e230fca8d430c72e81666a7389f7ac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y CCAAS son artefactos OCI distintos. El runtime CCAAS contiene los nueve servidores de chaincode, pero los package IDs se generan para el nombre, namespace y Services exactos de cada release Helm.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la autoridad debe revocar el identificador no consumido porque Fabric CA garantiza el límite de usos, no esa fecha.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Prueba completa del auditor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auditor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se usa para altas, renovaciones y revocaciones, no para el tráfico normal de peers y orderers. La autoridad puede publicar una ventana TLS limitada a la IP de salida del proveedor y cerrarla después. El proveedor recibe URL, nombre de CA y cadena pública, pero nunca la identidad registradora de la ICA de Fabric. Antes del enrolamiento verifica: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fabric-ca-client getcainfo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-u "${FABRIC_CA_URL}"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--caname "${FABRIC_CA_NAME}"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--tls.certfiles "${FABRIC_CA_TLS_CERTFILES}"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autoridad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proveedor recibe únicamente el grant 0600 y la cadena TLS pública de Fabric CA. Las claves se crean en su infraestructura: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Para auditar los dos enrolamientos por separado se usan los mismos helpers con variables explícitas: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ENROLLMENT_GRANT_FILE=/secure/grants/peer-grant.json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HOST_MSP_OUTPUT_DIR=/secure/host/fabric-peer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HOST_PEER_DNS="${HOST_PEER_DNS}"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scripts/enrollment/enroll-host-msp.sh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ENROLLMENT_GRANT_FILE=/secure/grants/gw-client-grant.json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HOST_CLIENT_OUTPUT_DIR=/secure/host/fabric-gw-client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scripts/enrollment/enroll-host-client.sh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0.3.0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show chart oci://ghcr.io/global-datacare/gdc-host --version 0.3.0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chart OCI es el mismo artefacto validado en local-network. Los values, Secrets, grants, MSP/TLS y package IDs se generan de nuevo para cada entorno.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GW_PUBLIC_IMAGE="ghcr.io/global-datacare/gw-core@sha256:6b37c7dfea17dc2ee42628c5467fb5b44fe7f669536e695bd4f2932714485e5f"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CCAAS_PUBLIC_IMAGE="ghcr.io/global-datacare/host-runtime@sha256:67e5c0fb93efbdc79812a3579ea0b9b0d8e230fca8d430c72e81666a7389f7ac"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"${CCAAS_PUBLIC_IMAGE}"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"${CCAAS_PUBLIC_IMAGE}"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de GW usa su digest OCI. Cada entrada CCAAS usa el digest del runtime común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CCAAS_IMAGE="${CCAAS_PUBLIC_IMAGE}"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0.3.0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tar -xzf gdc-host-0.3.0.tgz -C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/secure/onboarding/gdc-host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operador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proveedor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