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28"/>
      </w:pPr>
      <w:r>
        <w:rPr>
          <w:rFonts w:ascii="Arial" w:hAnsi="Arial" w:cs="Arial"/>
          <w:sz w:val="64"/>
          <w:sz-cs w:val="64"/>
          <w:b/>
          <w:spacing w:val="0"/>
          <w:color w:val="102C4B"/>
        </w:rPr>
        <w:t xml:space="preserve">Guía reproducible para el alta y despliegue de un host</w:t>
      </w:r>
    </w:p>
    <w:p>
      <w:pPr>
        <w:spacing w:after="240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Documento público en español para memoria, consultoría e integración.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/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1. Qué es el recolector de evidencias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término «runner SEDIA» es informal. No es Helm ni una herramienta oficial de SEDIA. Es el recolector público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scripts/collect-open-source-production-readiness-evidence.sh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invocado mediante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npm run evidence:open-source-production-readiness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 Ejecuta las pruebas y genera estados, logs saneados, resumen y manifiesto con hashes.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2. Flujo objetivo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Autorización del host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HostingServiceCredential (VC JSON y VC-JWT)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Registro gobernado en la ICA de Fabric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Enrolamiento MSP y TLS con claves privadas locales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Secrets de Kubernetes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upgrade --install gdc-host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Peer + CouchDB + GW CORE + PostgreSQL + IPFS + CCAAS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Canales, escritura, lectura, denegación y reinicio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3. Evidencia ejecutada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CA del espacio de datos local con Root e Issuer desechables.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ICA del espacio de datos y Host VC JSON/VC-JWT sin PDF para un host preautorizado.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ICA de Fabric, certificados MSP/TLS, Host1MSP, Host2MSP, canales y chaincodes.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CORE, PostgreSQL e IPFS con escritura, lectura y recuperación tras reinicio.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Instalación real mediante kind y Helm de un peer del Host2MSP recién admitido, CouchDB, GW CORE, PostgreSQL, IPFS y nueve runtimes CCAAS.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Unión del peer Kubernetes a los canales locales, instalación y aprobación de los paquetes CCAAS exactos.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misma Host VC queda vinculada a los certificados del peer y del cliente GW; GW firma como Host2MSP y se dirige al peer Kubernetes de ese MSP, con persistencia y nueva capacidad de endoso tras reiniciar GW, peer y CCAAS.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Acceso consentido y controles negativos de acceso no autorizado.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Separación comprobada: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Docker mantiene la ICA de Fabric, el orderer y un peer de referencia como red externa. El peer desplegado por Helm se une a esa red y el GW endosa exclusivamente mediante ese peer Kubernetes; la ruta al peer Docker solo se usa para gossip/bootstrap.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4. Qué hace realmente la puerta Kubernetes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prueba ya no se limita 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template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 Crea un clúster kind aislado, namespace y Secrets; carga la imagen aprobada; ejecuta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upgrade --install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; espera el rollout; realiza operaciones E2E; comprueba canales y CouchDB; consulta PostgreSQL e IPFS dentro de los pods; instala y aprueba los nueve paquetes CCAAS en el peer Kubernetes; ejecuta Consent y SMART mediante ese peer; reinicia GW, peer y CCAAS y comprueba la recuperación.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template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permanece como comprobación estática complementaria.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5. Promoción del mismo chart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Entorno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Chart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Diferencias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local-network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Imágenes y autoridades locales, DNS .localhost y StorageClass de kind.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test-network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Digests publicados, autoridades de staging, DNS/TLS y almacenamiento cloud.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Producción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Host VC y certificados nuevos, digests aprobados, KMS y values del proveedor.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No se reutilizan MSP, TLS, claves, Secrets, grants ni credenciales verificables entre entornos. Se reutilizan el chart, su estructura de configuración y las versiones o digests aprobados.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6. Responsabilidad de Helm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Helm no crea la red Fabric, no actúa como administrador de ninguna ICA y no decide qué MSP entra en los canales. Antes de instalar un host autónomo deben existir la autorización, el grant de enrolamiento, el material MSP/TLS generado por el host, la incorporación gobernada a los canales y los Secrets Kubernetes. La reconciliación privilegiada se ejecuta por la autoridad.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autorización exige una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HostingServiceCredential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también en local-network y test-network. «Sin PDF» significa que la ICA del espacio de datos puede emitir esa VC para un host preautorizado; no significa omitir la credencial. La ICA de Fabric registra después un identificador limitado a dos enrolamientos, uno MSP y otro TLS, y otro identificador de un solo uso para la identidad cliente del GW. Las tres claves privadas se generan dentro del host. El helper aplica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issuedAt/expiresAt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; la autoridad debe revocar el identificador no consumido porque Fabric CA garantiza el límite de usos, no esa fecha.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7. Datos requeridos al proveedor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Versión de Kubernetes, namespace, StorageClass e IngressClass.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DNS, TLS, reglas de red y registro de imágenes.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PVC, backups, restauración y observabilidad.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Gestor de secretos y custodia externa del KEK.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Valores no secretos del release y canal seguro para grants y Secrets.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8. Criterio de presentación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memoria puede afirmar que la red Fabric local y el despliegue Kubernetes con peer, CouchDB, GW CORE, PostgreSQL, IPFS y CCAAS se han probado de forma reproducible, incluido el lifecycle CCAAS y el E2E del GW contra el peer Kubernetes. La promoción a otra red conserva el chart, pero exige nuevas credenciales, Secrets, digests, values y reconciliación gobernada.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9. Prueba completa del auditor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REPO_ROOT="$(pwd)"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DATASPACE_CA_ROOT="/ruta/al/checkout/dataspace-ca-ts"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DATASPACE_ICA_ROOT="/ruta/al/checkout/dataspace-ica-ts"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cd "${REPO_ROOT}"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npm ci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release_tag="$(node -p "require('./package.json').version")-$(git rev-parse --short HEAD)"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IMAGE_NAME="gw-core:${release_tag}"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LOCAL_IMAGE_NAME="${IMAGE_NAME}" ./docker_build_local.sh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npm run evidence:open-source-production-readiness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auditor conserva el directorio anunciado bajo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artifacts/open-source-production-readiness/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comprueba todos los estados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PASS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verifica los hashes. Ningún grant, token, PDF, clave, IP o fichero env forma parte de la evidencia pública.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10. Fases de autorización y enrolamiento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autoridad recibe por canal seguro la petición con URL, MSP, Host VC-JWT, decisión firmada, DID públicos, JWKS e inventario gobernado. Ejecuta: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request_id="$(jq -r '.governanceDecision.decision.requestId'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/secure/approvals/host-enrollment-request.json)"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authority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authority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--apply --confirm-request "${request_id}"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proveedor recibe únicamente el grant 0600 y la cadena TLS pública de Fabric CA. Las claves se crean en su infraestructura: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host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host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--apply --confirm-request "${request_id}"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cd /secure/host/helm-runtime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shasum -a 256 -c manifest.sha256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paquete resultante contiene solo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msp.tgz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tls.tgz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authorization.json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manifest.sha256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11. Imagen OCI, values y package IDs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build -t "${OCI_REPOSITORY}/gw-core:${release_tag}" .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push "${OCI_REPOSITORY}/gw-core:${release_tag}"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buildx imagetools inspect "${OCI_REPOSITORY}/gw-core:${release_tag}"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 es un servicio y no se publica en npm. El values usa el digest OCI. Cada CCAAS necesita una imagen por digest y un paquete cuya dirección sea el Service exacto del release. El package ID es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&lt;label&gt;:&lt;sha256 del .tgz&gt;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; cualquier cambio de Service, release, puerto o TLS obliga a regenerarlo.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HOST_FULLNAME="${HELM_RELEASE}"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KUBE_NAMESPACE="${KUBE_NAMESPACE}"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CCAAS_IMAGE="${OCI_REPOSITORY}/host-runtime@sha256:&lt;digest&gt;"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CCAAS_OUTPUT_DIR=/secure/onboarding/ccaas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scripts/onboarding/prepare-ccaas-packages.sh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shasum -a 256 -c /secure/onboarding/ccaas/manifest.sha256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resultado contiene nueve archivos, sus package IDs en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manifest.tsv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el fragmento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chaincodes.values.yaml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12. Secrets e instalación Kubernetes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KUBE_CONTEXT="contexto-del-cluster"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KUBE_NAMESPACE="namespace-del-host"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HELM_RELEASE="nombre-del-host"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create namespace "${KUBE_NAMESPACE}"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HOST_RUNTIME_DIR=/secure/host/helm-runtime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POSTGRES_SECRET_ENV_FILE=/secure/host/postgresql.env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COUCHDB_SECRET_ENV_FILE=/secure/host/couchdb.env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GW_SECRET_ENV_FILE=/secure/host/gw.env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REDIS_SECRET_ENV_FILE=/secure/host/redis.env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scripts/onboarding/materialize-kubernetes-secrets.sh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bash scripts/validate-host-helm-values.sh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/secure/inventory/host.values.yaml "${KUBE_NAMESPACE}" "${HELM_RELEASE}"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upgrade --install "${HELM_RELEASE}" charts/gdc-host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--kube-context "${KUBE_CONTEXT}" --namespace "${KUBE_NAMESPACE}"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--values /secure/inventory/host.values.yaml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--atomic --wait --timeout 15m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Se materializan seis Secrets básicos —peer MSP, peer TLS, autorización, PostgreSQL, CouchDB y GW— y un séptimo si Redis está habilitado. Los values nunca contienen sus valores. En producción cada pod desenvuelve una vez la KEK mediante el adaptador KMS; una KEK plana solo es válida en local/demo.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13. Reconciliación y aceptación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platform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platform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--apply --confirm-request "${request_id}"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-n "${KUBE_NAMESPACE}" get pods,pvc,svc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-n "${KUBE_NAMESPACE}" rollout status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statefulset/"${HELM_RELEASE}"-peer --timeout=5m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-n "${KUBE_NAMESPACE}" rollout status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deployment/"${HELM_RELEASE}"-gw --timeout=5m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mapa privado del operador contiene comandos reales de inspección y aplicación para MSP, grants, peer, canales y lifecycle CCAAS. Si falta uno, el reconciliador falla cerrado. La aceptación prueba escritura/lectura por el peer propio, permiso/denegación y persistencia tras reiniciar GW, peer y CCAAS; un pod arrancado no basta.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14. Material que se entrega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Commit, digest OCI, chart, values saneado, versiones, gates, logs saneados, auditoría y manifiesto de hashes. Los datos reales del proveedor se mantienen en un anexo privado. La prueba local demuestra reproducibilidad del software; no declara desplegada una infraestructura externa concreta.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