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60" w:line="252" w:lineRule="auto"/>
        <w:jc w:val="left"/>
      </w:pPr>
      <w:r>
        <w:rPr>
          <w:rFonts w:ascii="Arial" w:hAnsi="Arial"/>
          <w:b w:val="0"/>
          <w:i w:val="0"/>
          <w:sz w:val="19"/>
        </w:rPr>
        <w:t>Informe consolidado de ejecución local-network</w:t>
      </w:r>
    </w:p>
    <w:p>
      <w:pPr>
        <w:spacing w:before="0" w:after="80" w:line="252" w:lineRule="auto"/>
      </w:pPr>
      <w:r>
        <w:rPr>
          <w:rFonts w:ascii="Arial" w:hAnsi="Arial"/>
          <w:b w:val="0"/>
          <w:i w:val="0"/>
          <w:color w:val="4B6075"/>
          <w:sz w:val="19"/>
        </w:rPr>
        <w:t>Evidencia reproducible del host del espacio de datos y aclaraciones técnicas para SEDIA</w:t>
      </w:r>
    </w:p>
    <w:tbl>
      <w:tblPr>
        <w:tblStyle w:val="TableGrid"/>
        <w:tblW w:type="auto" w:w="0"/>
        <w:jc w:val="center"/>
        <w:tblLayout w:type="autofit"/>
        <w:tblLook w:firstColumn="1" w:firstRow="1" w:lastColumn="0" w:lastRow="0" w:noHBand="0" w:noVBand="1" w:val="04A0"/>
      </w:tblPr>
      <w:tblGrid>
        <w:gridCol w:w="5156"/>
        <w:gridCol w:w="5156"/>
      </w:tblGrid>
      <w:tr>
        <w:trPr>
          <w:cantSplit/>
          <w:tblHeader w:val="true"/>
        </w:trPr>
        <w:tc>
          <w:tcPr>
            <w:tcW w:type="dxa" w:w="2520"/>
            <w:vAlign w:val="top"/>
            <w:shd w:fill="123B66"/>
          </w:tcPr>
          <w:p>
            <w:pPr>
              <w:spacing w:before="0" w:after="20" w:line="240" w:lineRule="auto"/>
            </w:pPr>
            <w:r>
              <w:rPr>
                <w:rFonts w:ascii="Arial" w:hAnsi="Arial"/>
                <w:b/>
                <w:color w:val="FFFFFF"/>
                <w:sz w:val="16"/>
              </w:rPr>
            </w:r>
            <w:r>
              <w:rPr>
                <w:rFonts w:ascii="Arial" w:hAnsi="Arial"/>
                <w:b/>
                <w:i w:val="0"/>
                <w:color w:val="FFFFFF"/>
                <w:sz w:val="16"/>
              </w:rPr>
              <w:t>Campo</w:t>
            </w:r>
          </w:p>
        </w:tc>
        <w:tc>
          <w:tcPr>
            <w:tcW w:type="dxa" w:w="7200"/>
            <w:vAlign w:val="top"/>
            <w:shd w:fill="123B66"/>
          </w:tcPr>
          <w:p>
            <w:pPr>
              <w:spacing w:before="0" w:after="20" w:line="240" w:lineRule="auto"/>
            </w:pPr>
            <w:r>
              <w:rPr>
                <w:rFonts w:ascii="Arial" w:hAnsi="Arial"/>
                <w:b/>
                <w:color w:val="FFFFFF"/>
                <w:sz w:val="16"/>
              </w:rPr>
            </w:r>
            <w:r>
              <w:rPr>
                <w:rFonts w:ascii="Arial" w:hAnsi="Arial"/>
                <w:b/>
                <w:i w:val="0"/>
                <w:color w:val="FFFFFF"/>
                <w:sz w:val="16"/>
              </w:rPr>
              <w:t>Valor</w:t>
            </w:r>
          </w:p>
        </w:tc>
      </w:tr>
      <w:tr>
        <w:trPr>
          <w:cantSplit/>
        </w:trPr>
        <w:tc>
          <w:tcPr>
            <w:tcW w:type="dxa" w:w="2520"/>
            <w:vAlign w:val="top"/>
          </w:tcPr>
          <w:p>
            <w:pPr>
              <w:spacing w:before="0" w:after="20" w:line="240" w:lineRule="auto"/>
            </w:pPr>
            <w:r>
              <w:rPr>
                <w:rFonts w:ascii="Arial" w:hAnsi="Arial"/>
                <w:sz w:val="16"/>
              </w:rPr>
            </w:r>
            <w:r>
              <w:rPr>
                <w:rFonts w:ascii="Arial" w:hAnsi="Arial"/>
                <w:b w:val="0"/>
                <w:i w:val="0"/>
                <w:sz w:val="16"/>
              </w:rPr>
              <w:t>Fecha de la ejecución</w:t>
            </w:r>
          </w:p>
        </w:tc>
        <w:tc>
          <w:tcPr>
            <w:tcW w:type="dxa" w:w="7200"/>
            <w:vAlign w:val="top"/>
          </w:tcPr>
          <w:p>
            <w:pPr>
              <w:spacing w:before="0" w:after="20" w:line="240" w:lineRule="auto"/>
            </w:pPr>
            <w:r>
              <w:rPr>
                <w:rFonts w:ascii="Arial" w:hAnsi="Arial"/>
                <w:sz w:val="16"/>
              </w:rPr>
            </w:r>
            <w:r>
              <w:rPr>
                <w:rFonts w:ascii="Arial" w:hAnsi="Arial"/>
                <w:b w:val="0"/>
                <w:i w:val="0"/>
                <w:sz w:val="16"/>
              </w:rPr>
              <w:t>21 de septiembre de 2026</w:t>
            </w:r>
          </w:p>
        </w:tc>
      </w:tr>
      <w:tr>
        <w:trPr>
          <w:cantSplit/>
        </w:trPr>
        <w:tc>
          <w:tcPr>
            <w:tcW w:type="dxa" w:w="2520"/>
            <w:vAlign w:val="top"/>
            <w:shd w:fill="F3F6F9"/>
          </w:tcPr>
          <w:p>
            <w:pPr>
              <w:spacing w:before="0" w:after="20" w:line="240" w:lineRule="auto"/>
            </w:pPr>
            <w:r>
              <w:rPr>
                <w:rFonts w:ascii="Arial" w:hAnsi="Arial"/>
                <w:sz w:val="16"/>
              </w:rPr>
            </w:r>
            <w:r>
              <w:rPr>
                <w:rFonts w:ascii="Arial" w:hAnsi="Arial"/>
                <w:b w:val="0"/>
                <w:i w:val="0"/>
                <w:sz w:val="16"/>
              </w:rPr>
              <w:t>Ventana temporal</w:t>
            </w:r>
          </w:p>
        </w:tc>
        <w:tc>
          <w:tcPr>
            <w:tcW w:type="dxa" w:w="7200"/>
            <w:vAlign w:val="top"/>
            <w:shd w:fill="F3F6F9"/>
          </w:tcPr>
          <w:p>
            <w:pPr>
              <w:spacing w:before="0" w:after="20" w:line="240" w:lineRule="auto"/>
            </w:pPr>
            <w:r>
              <w:rPr>
                <w:rFonts w:ascii="Arial" w:hAnsi="Arial"/>
                <w:sz w:val="16"/>
              </w:rPr>
            </w:r>
            <w:r>
              <w:rPr>
                <w:rFonts w:ascii="Arial" w:hAnsi="Arial"/>
                <w:b w:val="0"/>
                <w:i w:val="0"/>
                <w:sz w:val="16"/>
              </w:rPr>
              <w:t>19:10:54–19:29:18 UTC</w:t>
            </w:r>
          </w:p>
        </w:tc>
      </w:tr>
      <w:tr>
        <w:trPr>
          <w:cantSplit/>
        </w:trPr>
        <w:tc>
          <w:tcPr>
            <w:tcW w:type="dxa" w:w="2520"/>
            <w:vAlign w:val="top"/>
          </w:tcPr>
          <w:p>
            <w:pPr>
              <w:spacing w:before="0" w:after="20" w:line="240" w:lineRule="auto"/>
            </w:pPr>
            <w:r>
              <w:rPr>
                <w:rFonts w:ascii="Arial" w:hAnsi="Arial"/>
                <w:sz w:val="16"/>
              </w:rPr>
            </w:r>
            <w:r>
              <w:rPr>
                <w:rFonts w:ascii="Arial" w:hAnsi="Arial"/>
                <w:b w:val="0"/>
                <w:i w:val="0"/>
                <w:sz w:val="16"/>
              </w:rPr>
              <w:t>Duración total aproximada</w:t>
            </w:r>
          </w:p>
        </w:tc>
        <w:tc>
          <w:tcPr>
            <w:tcW w:type="dxa" w:w="7200"/>
            <w:vAlign w:val="top"/>
          </w:tcPr>
          <w:p>
            <w:pPr>
              <w:spacing w:before="0" w:after="20" w:line="240" w:lineRule="auto"/>
            </w:pPr>
            <w:r>
              <w:rPr>
                <w:rFonts w:ascii="Arial" w:hAnsi="Arial"/>
                <w:sz w:val="16"/>
              </w:rPr>
            </w:r>
            <w:r>
              <w:rPr>
                <w:rFonts w:ascii="Arial" w:hAnsi="Arial"/>
                <w:b w:val="0"/>
                <w:i w:val="0"/>
                <w:sz w:val="16"/>
              </w:rPr>
              <w:t>18 minutos y 24 segundos, calculada a partir de los artefactos de inicio y cierre</w:t>
            </w:r>
          </w:p>
        </w:tc>
      </w:tr>
      <w:tr>
        <w:trPr>
          <w:cantSplit/>
        </w:trPr>
        <w:tc>
          <w:tcPr>
            <w:tcW w:type="dxa" w:w="2520"/>
            <w:vAlign w:val="top"/>
            <w:shd w:fill="F3F6F9"/>
          </w:tcPr>
          <w:p>
            <w:pPr>
              <w:spacing w:before="0" w:after="20" w:line="240" w:lineRule="auto"/>
            </w:pPr>
            <w:r>
              <w:rPr>
                <w:rFonts w:ascii="Arial" w:hAnsi="Arial"/>
                <w:sz w:val="16"/>
              </w:rPr>
            </w:r>
            <w:r>
              <w:rPr>
                <w:rFonts w:ascii="Arial" w:hAnsi="Arial"/>
                <w:b w:val="0"/>
                <w:i w:val="0"/>
                <w:sz w:val="16"/>
              </w:rPr>
              <w:t>Entorno demostrado</w:t>
            </w:r>
          </w:p>
        </w:tc>
        <w:tc>
          <w:tcPr>
            <w:tcW w:type="dxa" w:w="7200"/>
            <w:vAlign w:val="top"/>
            <w:shd w:fill="F3F6F9"/>
          </w:tcPr>
          <w:p>
            <w:pPr>
              <w:spacing w:before="0" w:after="20" w:line="240" w:lineRule="auto"/>
            </w:pPr>
            <w:r>
              <w:rPr>
                <w:rFonts w:ascii="Arial" w:hAnsi="Arial"/>
                <w:sz w:val="16"/>
              </w:rPr>
            </w:r>
            <w:r>
              <w:rPr>
                <w:rFonts w:ascii="Menlo" w:hAnsi="Menlo"/>
                <w:b w:val="0"/>
                <w:i w:val="0"/>
                <w:color w:val="23374B"/>
                <w:sz w:val="16"/>
              </w:rPr>
              <w:t>local-network</w:t>
            </w:r>
            <w:r>
              <w:rPr>
                <w:rFonts w:ascii="Arial" w:hAnsi="Arial"/>
                <w:b w:val="0"/>
                <w:i w:val="0"/>
                <w:sz w:val="16"/>
              </w:rPr>
              <w:t>, con Hyperledger Fabric real, PostgreSQL, IPFS/Kubo, GW CORE y despliegue Helm/kind</w:t>
            </w:r>
          </w:p>
        </w:tc>
      </w:tr>
      <w:tr>
        <w:trPr>
          <w:cantSplit/>
        </w:trPr>
        <w:tc>
          <w:tcPr>
            <w:tcW w:type="dxa" w:w="2520"/>
            <w:vAlign w:val="top"/>
          </w:tcPr>
          <w:p>
            <w:pPr>
              <w:spacing w:before="0" w:after="20" w:line="240" w:lineRule="auto"/>
            </w:pPr>
            <w:r>
              <w:rPr>
                <w:rFonts w:ascii="Arial" w:hAnsi="Arial"/>
                <w:sz w:val="16"/>
              </w:rPr>
            </w:r>
            <w:r>
              <w:rPr>
                <w:rFonts w:ascii="Arial" w:hAnsi="Arial"/>
                <w:b w:val="0"/>
                <w:i w:val="0"/>
                <w:sz w:val="16"/>
              </w:rPr>
              <w:t>Hardware de ejecución</w:t>
            </w:r>
          </w:p>
        </w:tc>
        <w:tc>
          <w:tcPr>
            <w:tcW w:type="dxa" w:w="7200"/>
            <w:vAlign w:val="top"/>
          </w:tcPr>
          <w:p>
            <w:pPr>
              <w:spacing w:before="0" w:after="20" w:line="240" w:lineRule="auto"/>
            </w:pPr>
            <w:r>
              <w:rPr>
                <w:rFonts w:ascii="Arial" w:hAnsi="Arial"/>
                <w:sz w:val="16"/>
              </w:rPr>
            </w:r>
            <w:r>
              <w:rPr>
                <w:rFonts w:ascii="Arial" w:hAnsi="Arial"/>
                <w:b w:val="0"/>
                <w:i w:val="0"/>
                <w:sz w:val="16"/>
              </w:rPr>
              <w:t xml:space="preserve">Intel Core i9-9880H a 2,30 GHz; 8 núcleos físicos y 16 procesadores lógicos; 32 GB de memoria; arquitectura </w:t>
            </w:r>
            <w:r>
              <w:rPr>
                <w:rFonts w:ascii="Menlo" w:hAnsi="Menlo"/>
                <w:b w:val="0"/>
                <w:i w:val="0"/>
                <w:color w:val="23374B"/>
                <w:sz w:val="16"/>
              </w:rPr>
              <w:t>x86_64</w:t>
            </w:r>
          </w:p>
        </w:tc>
      </w:tr>
      <w:tr>
        <w:trPr>
          <w:cantSplit/>
        </w:trPr>
        <w:tc>
          <w:tcPr>
            <w:tcW w:type="dxa" w:w="2520"/>
            <w:vAlign w:val="top"/>
            <w:shd w:fill="F3F6F9"/>
          </w:tcPr>
          <w:p>
            <w:pPr>
              <w:spacing w:before="0" w:after="20" w:line="240" w:lineRule="auto"/>
            </w:pPr>
            <w:r>
              <w:rPr>
                <w:rFonts w:ascii="Arial" w:hAnsi="Arial"/>
                <w:sz w:val="16"/>
              </w:rPr>
            </w:r>
            <w:r>
              <w:rPr>
                <w:rFonts w:ascii="Arial" w:hAnsi="Arial"/>
                <w:b w:val="0"/>
                <w:i w:val="0"/>
                <w:sz w:val="16"/>
              </w:rPr>
              <w:t>Identificador de ejecución</w:t>
            </w:r>
          </w:p>
        </w:tc>
        <w:tc>
          <w:tcPr>
            <w:tcW w:type="dxa" w:w="7200"/>
            <w:vAlign w:val="top"/>
            <w:shd w:fill="F3F6F9"/>
          </w:tcPr>
          <w:p>
            <w:pPr>
              <w:spacing w:before="0" w:after="20" w:line="240" w:lineRule="auto"/>
            </w:pPr>
            <w:r>
              <w:rPr>
                <w:rFonts w:ascii="Arial" w:hAnsi="Arial"/>
                <w:sz w:val="16"/>
              </w:rPr>
            </w:r>
            <w:r>
              <w:rPr>
                <w:rFonts w:ascii="Menlo" w:hAnsi="Menlo"/>
                <w:b w:val="0"/>
                <w:i w:val="0"/>
                <w:color w:val="23374B"/>
                <w:sz w:val="16"/>
              </w:rPr>
              <w:t>20260921T191100Z</w:t>
            </w:r>
          </w:p>
        </w:tc>
      </w:tr>
      <w:tr>
        <w:trPr>
          <w:cantSplit/>
        </w:trPr>
        <w:tc>
          <w:tcPr>
            <w:tcW w:type="dxa" w:w="2520"/>
            <w:vAlign w:val="top"/>
          </w:tcPr>
          <w:p>
            <w:pPr>
              <w:spacing w:before="0" w:after="20" w:line="240" w:lineRule="auto"/>
            </w:pPr>
            <w:r>
              <w:rPr>
                <w:rFonts w:ascii="Arial" w:hAnsi="Arial"/>
                <w:sz w:val="16"/>
              </w:rPr>
            </w:r>
            <w:r>
              <w:rPr>
                <w:rFonts w:ascii="Arial" w:hAnsi="Arial"/>
                <w:b w:val="0"/>
                <w:i w:val="0"/>
                <w:sz w:val="16"/>
              </w:rPr>
              <w:t>Imagen probada</w:t>
            </w:r>
          </w:p>
        </w:tc>
        <w:tc>
          <w:tcPr>
            <w:tcW w:type="dxa" w:w="7200"/>
            <w:vAlign w:val="top"/>
          </w:tcPr>
          <w:p>
            <w:pPr>
              <w:spacing w:before="0" w:after="20" w:line="240" w:lineRule="auto"/>
            </w:pPr>
            <w:r>
              <w:rPr>
                <w:rFonts w:ascii="Arial" w:hAnsi="Arial"/>
                <w:sz w:val="16"/>
              </w:rPr>
            </w:r>
            <w:r>
              <w:rPr>
                <w:rFonts w:ascii="Menlo" w:hAnsi="Menlo"/>
                <w:b w:val="0"/>
                <w:i w:val="0"/>
                <w:color w:val="23374B"/>
                <w:sz w:val="16"/>
              </w:rPr>
              <w:t>gw-core:1.25.24-e7fdd71</w:t>
            </w:r>
            <w:r>
              <w:rPr>
                <w:rFonts w:ascii="Arial" w:hAnsi="Arial"/>
                <w:b w:val="0"/>
                <w:i w:val="0"/>
                <w:sz w:val="16"/>
              </w:rPr>
              <w:t xml:space="preserve">, ID local </w:t>
            </w:r>
            <w:r>
              <w:rPr>
                <w:rFonts w:ascii="Menlo" w:hAnsi="Menlo"/>
                <w:b w:val="0"/>
                <w:i w:val="0"/>
                <w:color w:val="23374B"/>
                <w:sz w:val="16"/>
              </w:rPr>
              <w:t>sha256:c02a3fda7dd7068fb3560f33c8c50ad8c3a0b65e0592b74eb62735d7ec951d87</w:t>
            </w:r>
            <w:r>
              <w:rPr>
                <w:rFonts w:ascii="Arial" w:hAnsi="Arial"/>
                <w:b w:val="0"/>
                <w:i w:val="0"/>
                <w:sz w:val="16"/>
              </w:rPr>
              <w:t xml:space="preserve">, </w:t>
            </w:r>
            <w:r>
              <w:rPr>
                <w:rFonts w:ascii="Menlo" w:hAnsi="Menlo"/>
                <w:b w:val="0"/>
                <w:i w:val="0"/>
                <w:color w:val="23374B"/>
                <w:sz w:val="16"/>
              </w:rPr>
              <w:t>linux/amd64</w:t>
            </w:r>
          </w:p>
        </w:tc>
      </w:tr>
      <w:tr>
        <w:trPr>
          <w:cantSplit/>
        </w:trPr>
        <w:tc>
          <w:tcPr>
            <w:tcW w:type="dxa" w:w="2520"/>
            <w:vAlign w:val="top"/>
            <w:shd w:fill="F3F6F9"/>
          </w:tcPr>
          <w:p>
            <w:pPr>
              <w:spacing w:before="0" w:after="20" w:line="240" w:lineRule="auto"/>
            </w:pPr>
            <w:r>
              <w:rPr>
                <w:rFonts w:ascii="Arial" w:hAnsi="Arial"/>
                <w:sz w:val="16"/>
              </w:rPr>
            </w:r>
            <w:r>
              <w:rPr>
                <w:rFonts w:ascii="Arial" w:hAnsi="Arial"/>
                <w:b w:val="0"/>
                <w:i w:val="0"/>
                <w:sz w:val="16"/>
              </w:rPr>
              <w:t>Commit GW CORE</w:t>
            </w:r>
          </w:p>
        </w:tc>
        <w:tc>
          <w:tcPr>
            <w:tcW w:type="dxa" w:w="7200"/>
            <w:vAlign w:val="top"/>
            <w:shd w:fill="F3F6F9"/>
          </w:tcPr>
          <w:p>
            <w:pPr>
              <w:spacing w:before="0" w:after="20" w:line="240" w:lineRule="auto"/>
            </w:pPr>
            <w:r>
              <w:rPr>
                <w:rFonts w:ascii="Arial" w:hAnsi="Arial"/>
                <w:sz w:val="16"/>
              </w:rPr>
            </w:r>
            <w:r>
              <w:rPr>
                <w:rFonts w:ascii="Menlo" w:hAnsi="Menlo"/>
                <w:b w:val="0"/>
                <w:i w:val="0"/>
                <w:color w:val="23374B"/>
                <w:sz w:val="16"/>
              </w:rPr>
              <w:t>e7fdd717a486318bfcf8ff0b9ea224bc275a9e73</w:t>
            </w:r>
          </w:p>
        </w:tc>
      </w:tr>
    </w:tbl>
    <w:p>
      <w:pPr>
        <w:spacing w:after="20"/>
      </w:pPr>
    </w:p>
    <w:p>
      <w:pPr>
        <w:spacing w:before="60" w:after="100" w:line="252" w:lineRule="auto"/>
        <w:shd w:fill="EAF3FB"/>
      </w:pPr>
      <w:r>
        <w:rPr>
          <w:rFonts w:ascii="Arial" w:hAnsi="Arial"/>
          <w:b w:val="0"/>
          <w:i w:val="0"/>
          <w:sz w:val="19"/>
        </w:rPr>
        <w:br/>
      </w:r>
      <w:r>
        <w:rPr>
          <w:rFonts w:ascii="Arial" w:hAnsi="Arial"/>
          <w:b/>
          <w:i w:val="0"/>
          <w:sz w:val="19"/>
        </w:rPr>
        <w:t>Conclusión ejecutiva.</w:t>
      </w:r>
      <w:r>
        <w:rPr>
          <w:rFonts w:ascii="Arial" w:hAnsi="Arial"/>
          <w:b w:val="0"/>
          <w:i w:val="0"/>
          <w:sz w:val="19"/>
        </w:rPr>
        <w:t xml:space="preserve"> Existe una ejecución única del recolector público de evidencia que recorre de forma secuencial la CA del espacio de datos, la ICA, la gobernanza y topología Fabric, GW CORE con PostgreSQL/IPFS, el acceso Consent/SMART y la instalación real mediante Helm. Las trece puertas terminaron en </w:t>
      </w:r>
      <w:r>
        <w:rPr>
          <w:rFonts w:ascii="Arial" w:hAnsi="Arial"/>
          <w:b/>
          <w:i w:val="0"/>
          <w:sz w:val="19"/>
        </w:rPr>
        <w:t>PASS</w:t>
      </w:r>
      <w:r>
        <w:rPr>
          <w:rFonts w:ascii="Arial" w:hAnsi="Arial"/>
          <w:b w:val="0"/>
          <w:i w:val="0"/>
          <w:sz w:val="19"/>
        </w:rPr>
        <w:t xml:space="preserve">. Los runners TAP, Jest y Mocha contenidos en esa ejecución registran </w:t>
      </w:r>
      <w:r>
        <w:rPr>
          <w:rFonts w:ascii="Arial" w:hAnsi="Arial"/>
          <w:b/>
          <w:i w:val="0"/>
          <w:sz w:val="19"/>
        </w:rPr>
        <w:t>111 casos superados, 0 fallidos y 0 omitidos</w:t>
      </w:r>
      <w:r>
        <w:rPr>
          <w:rFonts w:ascii="Arial" w:hAnsi="Arial"/>
          <w:b w:val="0"/>
          <w:i w:val="0"/>
          <w:sz w:val="19"/>
        </w:rPr>
        <w:t>.</w:t>
        <w:br/>
        <w:t xml:space="preserve">  </w:t>
      </w:r>
    </w:p>
    <w:p>
      <w:pPr>
        <w:pStyle w:val="Heading1"/>
        <w:spacing w:before="160" w:after="60" w:line="252" w:lineRule="auto"/>
      </w:pPr>
      <w:r>
        <w:rPr>
          <w:rFonts w:ascii="Arial" w:hAnsi="Arial"/>
          <w:b w:val="0"/>
          <w:i w:val="0"/>
          <w:sz w:val="19"/>
        </w:rPr>
        <w:t>1. Comando y formato de la evidencia</w:t>
      </w:r>
    </w:p>
    <w:p>
      <w:pPr>
        <w:spacing w:before="0" w:after="80" w:line="252" w:lineRule="auto"/>
      </w:pPr>
      <w:r>
        <w:rPr>
          <w:rFonts w:ascii="Arial" w:hAnsi="Arial"/>
          <w:b w:val="0"/>
          <w:i w:val="0"/>
          <w:sz w:val="19"/>
        </w:rPr>
        <w:t>La ejecución se produce mediante el comando público:</w:t>
      </w:r>
    </w:p>
    <w:p>
      <w:pPr>
        <w:spacing w:before="0" w:after="80" w:line="252" w:lineRule="auto"/>
      </w:pPr>
      <w:r>
        <w:rPr>
          <w:rFonts w:ascii="Menlo" w:hAnsi="Menlo"/>
          <w:b w:val="0"/>
          <w:i w:val="0"/>
          <w:color w:val="23374B"/>
          <w:sz w:val="17"/>
        </w:rPr>
        <w:t>IMAGE_NAME="gw-core:&lt;versión&gt;-&lt;commit&gt;" npm run evidence:open-source-production-readiness</w:t>
      </w:r>
    </w:p>
    <w:p>
      <w:pPr>
        <w:spacing w:before="0" w:after="80" w:line="252" w:lineRule="auto"/>
      </w:pPr>
      <w:r>
        <w:rPr>
          <w:rFonts w:ascii="Arial" w:hAnsi="Arial"/>
          <w:b w:val="0"/>
          <w:i w:val="0"/>
          <w:sz w:val="19"/>
        </w:rPr>
        <w:t xml:space="preserve">La salida de esta ejecución queda agrupada bajo la URL completa </w:t>
      </w:r>
      <w:hyperlink r:id="rId9">
        <w:r>
          <w:rPr>
            <w:rFonts w:ascii="Arial" w:hAnsi="Arial"/>
            <w:color w:val="0563C1"/>
            <w:u w:val="single"/>
            <w:sz w:val="19"/>
          </w:rPr>
          <w:t>https://github.com/Global-DataCare/gwtemplate-node-ts/tree/main/deliverables/open-source-production-readiness/20260921T191100Z</w:t>
        </w:r>
      </w:hyperlink>
      <w:r>
        <w:rPr>
          <w:rFonts w:ascii="Arial" w:hAnsi="Arial"/>
          <w:b w:val="0"/>
          <w:i w:val="0"/>
          <w:sz w:val="19"/>
        </w:rPr>
        <w:t xml:space="preserve"> e incluye:</w:t>
      </w:r>
    </w:p>
    <w:p>
      <w:pPr>
        <w:pStyle w:val="ListBullet"/>
        <w:spacing w:before="0" w:after="40" w:line="252" w:lineRule="auto"/>
      </w:pPr>
      <w:r>
        <w:rPr>
          <w:rFonts w:ascii="Arial" w:hAnsi="Arial"/>
          <w:b w:val="0"/>
          <w:i w:val="0"/>
          <w:sz w:val="19"/>
        </w:rPr>
        <w:t xml:space="preserve">un estado </w:t>
      </w:r>
      <w:r>
        <w:rPr>
          <w:rFonts w:ascii="Menlo" w:hAnsi="Menlo"/>
          <w:b w:val="0"/>
          <w:i w:val="0"/>
          <w:color w:val="23374B"/>
          <w:sz w:val="17"/>
        </w:rPr>
        <w:t>PASS</w:t>
      </w:r>
      <w:r>
        <w:rPr>
          <w:rFonts w:ascii="Arial" w:hAnsi="Arial"/>
          <w:b w:val="0"/>
          <w:i w:val="0"/>
          <w:sz w:val="19"/>
        </w:rPr>
        <w:t xml:space="preserve"> o </w:t>
      </w:r>
      <w:r>
        <w:rPr>
          <w:rFonts w:ascii="Menlo" w:hAnsi="Menlo"/>
          <w:b w:val="0"/>
          <w:i w:val="0"/>
          <w:color w:val="23374B"/>
          <w:sz w:val="17"/>
        </w:rPr>
        <w:t>FAIL</w:t>
      </w:r>
      <w:r>
        <w:rPr>
          <w:rFonts w:ascii="Arial" w:hAnsi="Arial"/>
          <w:b w:val="0"/>
          <w:i w:val="0"/>
          <w:sz w:val="19"/>
        </w:rPr>
        <w:t xml:space="preserve"> por puerta;</w:t>
      </w:r>
    </w:p>
    <w:p>
      <w:pPr>
        <w:pStyle w:val="ListBullet"/>
        <w:spacing w:before="0" w:after="40" w:line="252" w:lineRule="auto"/>
      </w:pPr>
      <w:r>
        <w:rPr>
          <w:rFonts w:ascii="Arial" w:hAnsi="Arial"/>
          <w:b w:val="0"/>
          <w:i w:val="0"/>
          <w:sz w:val="19"/>
        </w:rPr>
        <w:t>los logs íntegros de cada componente y recorrido;</w:t>
      </w:r>
    </w:p>
    <w:p>
      <w:pPr>
        <w:pStyle w:val="ListBullet"/>
        <w:spacing w:before="0" w:after="40" w:line="252" w:lineRule="auto"/>
      </w:pPr>
      <w:r>
        <w:rPr>
          <w:rFonts w:ascii="Arial" w:hAnsi="Arial"/>
          <w:b w:val="0"/>
          <w:i w:val="0"/>
          <w:sz w:val="19"/>
        </w:rPr>
        <w:t>un resumen legible;</w:t>
      </w:r>
    </w:p>
    <w:p>
      <w:pPr>
        <w:pStyle w:val="ListBullet"/>
        <w:spacing w:before="0" w:after="40" w:line="252" w:lineRule="auto"/>
      </w:pPr>
      <w:r>
        <w:rPr>
          <w:rFonts w:ascii="Arial" w:hAnsi="Arial"/>
          <w:b w:val="0"/>
          <w:i w:val="0"/>
          <w:sz w:val="19"/>
        </w:rPr>
        <w:t>un manifiesto JSON con commits, imagen, alcance, estados y hashes SHA-256;</w:t>
      </w:r>
    </w:p>
    <w:p>
      <w:pPr>
        <w:pStyle w:val="ListBullet"/>
        <w:spacing w:before="0" w:after="40" w:line="252" w:lineRule="auto"/>
      </w:pPr>
      <w:r>
        <w:rPr>
          <w:rFonts w:ascii="Arial" w:hAnsi="Arial"/>
          <w:b w:val="0"/>
          <w:i w:val="0"/>
          <w:sz w:val="19"/>
        </w:rPr>
        <w:t>los informes de migración PostgreSQL/IPFS y los identificadores de contenido;</w:t>
      </w:r>
    </w:p>
    <w:p>
      <w:pPr>
        <w:pStyle w:val="ListBullet"/>
        <w:spacing w:before="0" w:after="40" w:line="252" w:lineRule="auto"/>
      </w:pPr>
      <w:r>
        <w:rPr>
          <w:rFonts w:ascii="Arial" w:hAnsi="Arial"/>
          <w:b w:val="0"/>
          <w:i w:val="0"/>
          <w:sz w:val="19"/>
        </w:rPr>
        <w:t>evidencia de gobernanza, transacciones Fabric, lectura, denegación y recuperación tras reinicio.</w:t>
      </w:r>
    </w:p>
    <w:p>
      <w:pPr>
        <w:spacing w:before="0" w:after="80" w:line="252" w:lineRule="auto"/>
      </w:pPr>
      <w:r>
        <w:rPr>
          <w:rFonts w:ascii="Arial" w:hAnsi="Arial"/>
          <w:b w:val="0"/>
          <w:i w:val="0"/>
          <w:sz w:val="19"/>
        </w:rPr>
        <w:t>Esta ejecución es local y reproducible. No debe presentarse como ejecución de Test Network, staging o producción.</w:t>
      </w:r>
    </w:p>
    <w:p>
      <w:pPr>
        <w:pStyle w:val="Heading1"/>
        <w:spacing w:before="160" w:after="60" w:line="252" w:lineRule="auto"/>
      </w:pPr>
      <w:r>
        <w:rPr>
          <w:rFonts w:ascii="Arial" w:hAnsi="Arial"/>
          <w:b w:val="0"/>
          <w:i w:val="0"/>
          <w:sz w:val="19"/>
        </w:rPr>
        <w:t>2. Servicios levantados durante la ejecución local-network</w:t>
      </w:r>
    </w:p>
    <w:p>
      <w:pPr>
        <w:spacing w:before="0" w:after="80" w:line="252" w:lineRule="auto"/>
      </w:pPr>
      <w:r>
        <w:rPr>
          <w:rFonts w:ascii="Arial" w:hAnsi="Arial"/>
          <w:b w:val="0"/>
          <w:i w:val="0"/>
          <w:sz w:val="19"/>
        </w:rPr>
        <w:t>La ejecución levanta localmente los siguientes servicios e infraestructuras reales:</w:t>
      </w:r>
    </w:p>
    <w:p>
      <w:pPr>
        <w:pStyle w:val="ListBullet"/>
        <w:spacing w:before="0" w:after="40" w:line="252" w:lineRule="auto"/>
      </w:pPr>
      <w:r>
        <w:rPr>
          <w:rFonts w:ascii="Arial" w:hAnsi="Arial"/>
          <w:b w:val="0"/>
          <w:i w:val="0"/>
          <w:sz w:val="19"/>
        </w:rPr>
        <w:t xml:space="preserve">CA e ICA del espacio de datos. La ICA escucha en el puerto interno </w:t>
      </w:r>
      <w:r>
        <w:rPr>
          <w:rFonts w:ascii="Arial" w:hAnsi="Arial"/>
          <w:b/>
          <w:i w:val="0"/>
          <w:sz w:val="19"/>
        </w:rPr>
        <w:t>3310</w:t>
      </w:r>
      <w:r>
        <w:rPr>
          <w:rFonts w:ascii="Arial" w:hAnsi="Arial"/>
          <w:b w:val="0"/>
          <w:i w:val="0"/>
          <w:sz w:val="19"/>
        </w:rPr>
        <w:t>.</w:t>
      </w:r>
    </w:p>
    <w:p>
      <w:pPr>
        <w:pStyle w:val="ListBullet"/>
        <w:spacing w:before="0" w:after="40" w:line="252" w:lineRule="auto"/>
      </w:pPr>
      <w:r>
        <w:rPr>
          <w:rFonts w:ascii="Arial" w:hAnsi="Arial"/>
          <w:b w:val="0"/>
          <w:i w:val="0"/>
          <w:sz w:val="19"/>
        </w:rPr>
        <w:t>Root CA e ICA de Fabric.</w:t>
      </w:r>
    </w:p>
    <w:p>
      <w:pPr>
        <w:pStyle w:val="ListBullet"/>
        <w:spacing w:before="0" w:after="40" w:line="252" w:lineRule="auto"/>
      </w:pPr>
      <w:r>
        <w:rPr>
          <w:rFonts w:ascii="Arial" w:hAnsi="Arial"/>
          <w:b w:val="0"/>
          <w:i w:val="0"/>
          <w:sz w:val="19"/>
        </w:rPr>
        <w:t xml:space="preserve">Red Hyperledger Fabric real con orderer y peers </w:t>
      </w:r>
      <w:r>
        <w:rPr>
          <w:rFonts w:ascii="Menlo" w:hAnsi="Menlo"/>
          <w:b w:val="0"/>
          <w:i w:val="0"/>
          <w:color w:val="23374B"/>
          <w:sz w:val="17"/>
        </w:rPr>
        <w:t>Host1MSP</w:t>
      </w:r>
      <w:r>
        <w:rPr>
          <w:rFonts w:ascii="Arial" w:hAnsi="Arial"/>
          <w:b w:val="0"/>
          <w:i w:val="0"/>
          <w:sz w:val="19"/>
        </w:rPr>
        <w:t>/</w:t>
      </w:r>
      <w:r>
        <w:rPr>
          <w:rFonts w:ascii="Menlo" w:hAnsi="Menlo"/>
          <w:b w:val="0"/>
          <w:i w:val="0"/>
          <w:color w:val="23374B"/>
          <w:sz w:val="17"/>
        </w:rPr>
        <w:t>Host2MSP</w:t>
      </w:r>
      <w:r>
        <w:rPr>
          <w:rFonts w:ascii="Arial" w:hAnsi="Arial"/>
          <w:b w:val="0"/>
          <w:i w:val="0"/>
          <w:sz w:val="19"/>
        </w:rPr>
        <w:t>.</w:t>
      </w:r>
    </w:p>
    <w:p>
      <w:pPr>
        <w:pStyle w:val="ListBullet"/>
        <w:spacing w:before="0" w:after="40" w:line="252" w:lineRule="auto"/>
      </w:pPr>
      <w:r>
        <w:rPr>
          <w:rFonts w:ascii="Arial" w:hAnsi="Arial"/>
          <w:b w:val="0"/>
          <w:i w:val="0"/>
          <w:sz w:val="19"/>
        </w:rPr>
        <w:t xml:space="preserve">Canales </w:t>
      </w:r>
      <w:r>
        <w:rPr>
          <w:rFonts w:ascii="Menlo" w:hAnsi="Menlo"/>
          <w:b w:val="0"/>
          <w:i w:val="0"/>
          <w:color w:val="23374B"/>
          <w:sz w:val="17"/>
        </w:rPr>
        <w:t>identity-local</w:t>
      </w:r>
      <w:r>
        <w:rPr>
          <w:rFonts w:ascii="Arial" w:hAnsi="Arial"/>
          <w:b w:val="0"/>
          <w:i w:val="0"/>
          <w:sz w:val="19"/>
        </w:rPr>
        <w:t xml:space="preserve"> y </w:t>
      </w:r>
      <w:r>
        <w:rPr>
          <w:rFonts w:ascii="Menlo" w:hAnsi="Menlo"/>
          <w:b w:val="0"/>
          <w:i w:val="0"/>
          <w:color w:val="23374B"/>
          <w:sz w:val="17"/>
        </w:rPr>
        <w:t>health-care-local</w:t>
      </w:r>
      <w:r>
        <w:rPr>
          <w:rFonts w:ascii="Arial" w:hAnsi="Arial"/>
          <w:b w:val="0"/>
          <w:i w:val="0"/>
          <w:sz w:val="19"/>
        </w:rPr>
        <w:t>.</w:t>
      </w:r>
    </w:p>
    <w:p>
      <w:pPr>
        <w:pStyle w:val="ListBullet"/>
        <w:spacing w:before="0" w:after="40" w:line="252" w:lineRule="auto"/>
      </w:pPr>
      <w:r>
        <w:rPr>
          <w:rFonts w:ascii="Arial" w:hAnsi="Arial"/>
          <w:b w:val="0"/>
          <w:i w:val="0"/>
          <w:sz w:val="19"/>
        </w:rPr>
        <w:t>Diez servicios de smart contracts/CCAAS.</w:t>
      </w:r>
    </w:p>
    <w:p>
      <w:pPr>
        <w:pStyle w:val="ListBullet"/>
        <w:spacing w:before="0" w:after="40" w:line="252" w:lineRule="auto"/>
      </w:pPr>
      <w:r>
        <w:rPr>
          <w:rFonts w:ascii="Arial" w:hAnsi="Arial"/>
          <w:b w:val="0"/>
          <w:i w:val="0"/>
          <w:sz w:val="19"/>
        </w:rPr>
        <w:t xml:space="preserve">GW CORE, que escucha en el puerto interno </w:t>
      </w:r>
      <w:r>
        <w:rPr>
          <w:rFonts w:ascii="Arial" w:hAnsi="Arial"/>
          <w:b/>
          <w:i w:val="0"/>
          <w:sz w:val="19"/>
        </w:rPr>
        <w:t>3000</w:t>
      </w:r>
      <w:r>
        <w:rPr>
          <w:rFonts w:ascii="Arial" w:hAnsi="Arial"/>
          <w:b w:val="0"/>
          <w:i w:val="0"/>
          <w:sz w:val="19"/>
        </w:rPr>
        <w:t xml:space="preserve"> y se publica en esta ejecución local mediante el puerto </w:t>
      </w:r>
      <w:r>
        <w:rPr>
          <w:rFonts w:ascii="Arial" w:hAnsi="Arial"/>
          <w:b/>
          <w:i w:val="0"/>
          <w:sz w:val="19"/>
        </w:rPr>
        <w:t>18081</w:t>
      </w:r>
      <w:r>
        <w:rPr>
          <w:rFonts w:ascii="Arial" w:hAnsi="Arial"/>
          <w:b w:val="0"/>
          <w:i w:val="0"/>
          <w:sz w:val="19"/>
        </w:rPr>
        <w:t>.</w:t>
      </w:r>
    </w:p>
    <w:p>
      <w:pPr>
        <w:pStyle w:val="ListBullet"/>
        <w:spacing w:before="0" w:after="40" w:line="252" w:lineRule="auto"/>
      </w:pPr>
      <w:r>
        <w:rPr>
          <w:rFonts w:ascii="Arial" w:hAnsi="Arial"/>
          <w:b w:val="0"/>
          <w:i w:val="0"/>
          <w:sz w:val="19"/>
        </w:rPr>
        <w:t>PostgreSQL, IPFS/Kubo y CouchDB.</w:t>
      </w:r>
    </w:p>
    <w:p>
      <w:pPr>
        <w:pStyle w:val="ListBullet"/>
        <w:spacing w:before="0" w:after="40" w:line="252" w:lineRule="auto"/>
      </w:pPr>
      <w:r>
        <w:rPr>
          <w:rFonts w:ascii="Arial" w:hAnsi="Arial"/>
          <w:b w:val="0"/>
          <w:i w:val="0"/>
          <w:sz w:val="19"/>
        </w:rPr>
        <w:t xml:space="preserve">Clúster Kubernetes </w:t>
      </w:r>
      <w:r>
        <w:rPr>
          <w:rFonts w:ascii="Menlo" w:hAnsi="Menlo"/>
          <w:b w:val="0"/>
          <w:i w:val="0"/>
          <w:color w:val="23374B"/>
          <w:sz w:val="17"/>
        </w:rPr>
        <w:t>kind</w:t>
      </w:r>
      <w:r>
        <w:rPr>
          <w:rFonts w:ascii="Arial" w:hAnsi="Arial"/>
          <w:b w:val="0"/>
          <w:i w:val="0"/>
          <w:sz w:val="19"/>
        </w:rPr>
        <w:t xml:space="preserve"> mediante Helm.</w:t>
      </w:r>
    </w:p>
    <w:p>
      <w:pPr>
        <w:pStyle w:val="ListBullet"/>
        <w:spacing w:before="0" w:after="40" w:line="252" w:lineRule="auto"/>
      </w:pPr>
      <w:r>
        <w:rPr>
          <w:rFonts w:ascii="Arial" w:hAnsi="Arial"/>
          <w:b w:val="0"/>
          <w:i w:val="0"/>
          <w:sz w:val="19"/>
        </w:rPr>
        <w:t>Flujos reales de escritura, lectura, Consent y SMART, incluyendo reinicios y persistencia.</w:t>
      </w:r>
    </w:p>
    <w:p>
      <w:pPr>
        <w:spacing w:before="60" w:after="100" w:line="252" w:lineRule="auto"/>
        <w:shd w:fill="EAF3FB"/>
      </w:pPr>
      <w:r>
        <w:rPr>
          <w:rFonts w:ascii="Arial" w:hAnsi="Arial"/>
          <w:b w:val="0"/>
          <w:i w:val="0"/>
          <w:sz w:val="19"/>
        </w:rPr>
        <w:br/>
      </w:r>
      <w:r>
        <w:rPr>
          <w:rFonts w:ascii="Arial" w:hAnsi="Arial"/>
          <w:b/>
          <w:i w:val="0"/>
          <w:sz w:val="19"/>
        </w:rPr>
        <w:t>Alcance de la prueba.</w:t>
      </w:r>
      <w:r>
        <w:rPr>
          <w:rFonts w:ascii="Arial" w:hAnsi="Arial"/>
          <w:b w:val="0"/>
          <w:i w:val="0"/>
          <w:sz w:val="19"/>
        </w:rPr>
        <w:t xml:space="preserve"> No se limita a pruebas unitarias ni a mocks: arranca los servicios, ejecuta los recorridos contra la red local real y comprueba escritura, lectura autoritativa y persistencia.</w:t>
        <w:br/>
        <w:t xml:space="preserve">  </w:t>
      </w:r>
    </w:p>
    <w:p>
      <w:pPr>
        <w:pStyle w:val="Heading1"/>
        <w:spacing w:before="160" w:after="60" w:line="252" w:lineRule="auto"/>
      </w:pPr>
      <w:r>
        <w:rPr>
          <w:rFonts w:ascii="Arial" w:hAnsi="Arial"/>
          <w:b w:val="0"/>
          <w:i w:val="0"/>
          <w:sz w:val="19"/>
        </w:rPr>
        <w:t>3. Resultado global</w:t>
      </w:r>
    </w:p>
    <w:tbl>
      <w:tblPr>
        <w:tblStyle w:val="TableGrid"/>
        <w:tblW w:type="auto" w:w="0"/>
        <w:jc w:val="center"/>
        <w:tblLayout w:type="autofit"/>
        <w:tblLook w:firstColumn="1" w:firstRow="1" w:lastColumn="0" w:lastRow="0" w:noHBand="0" w:noVBand="1" w:val="04A0"/>
      </w:tblPr>
      <w:tblGrid>
        <w:gridCol w:w="2062"/>
        <w:gridCol w:w="2062"/>
        <w:gridCol w:w="2062"/>
        <w:gridCol w:w="2062"/>
        <w:gridCol w:w="2062"/>
      </w:tblGrid>
      <w:tr>
        <w:trPr>
          <w:cantSplit/>
          <w:tblHeader w:val="true"/>
        </w:trPr>
        <w:tc>
          <w:tcPr>
            <w:tcW w:type="dxa" w:w="3960"/>
            <w:vAlign w:val="top"/>
            <w:shd w:fill="123B66"/>
          </w:tcPr>
          <w:p>
            <w:pPr>
              <w:spacing w:before="0" w:after="20" w:line="240" w:lineRule="auto"/>
            </w:pPr>
            <w:r>
              <w:rPr>
                <w:rFonts w:ascii="Arial" w:hAnsi="Arial"/>
                <w:b/>
                <w:color w:val="FFFFFF"/>
                <w:sz w:val="16"/>
              </w:rPr>
            </w:r>
            <w:r>
              <w:rPr>
                <w:rFonts w:ascii="Arial" w:hAnsi="Arial"/>
                <w:b/>
                <w:i w:val="0"/>
                <w:color w:val="FFFFFF"/>
                <w:sz w:val="16"/>
              </w:rPr>
              <w:t>Métrica</w:t>
            </w:r>
          </w:p>
        </w:tc>
        <w:tc>
          <w:tcPr>
            <w:tcW w:type="dxa" w:w="1224"/>
            <w:vAlign w:val="top"/>
            <w:shd w:fill="123B66"/>
          </w:tcPr>
          <w:p>
            <w:pPr>
              <w:spacing w:before="0" w:after="20" w:line="240" w:lineRule="auto"/>
            </w:pPr>
            <w:r>
              <w:rPr>
                <w:rFonts w:ascii="Arial" w:hAnsi="Arial"/>
                <w:b/>
                <w:color w:val="FFFFFF"/>
                <w:sz w:val="16"/>
              </w:rPr>
            </w:r>
            <w:r>
              <w:rPr>
                <w:rFonts w:ascii="Arial" w:hAnsi="Arial"/>
                <w:b/>
                <w:i w:val="0"/>
                <w:color w:val="FFFFFF"/>
                <w:sz w:val="16"/>
              </w:rPr>
              <w:t>Ejecutadas</w:t>
            </w:r>
          </w:p>
        </w:tc>
        <w:tc>
          <w:tcPr>
            <w:tcW w:type="dxa" w:w="1224"/>
            <w:vAlign w:val="top"/>
            <w:shd w:fill="123B66"/>
          </w:tcPr>
          <w:p>
            <w:pPr>
              <w:spacing w:before="0" w:after="20" w:line="240" w:lineRule="auto"/>
            </w:pPr>
            <w:r>
              <w:rPr>
                <w:rFonts w:ascii="Arial" w:hAnsi="Arial"/>
                <w:b/>
                <w:color w:val="FFFFFF"/>
                <w:sz w:val="16"/>
              </w:rPr>
            </w:r>
            <w:r>
              <w:rPr>
                <w:rFonts w:ascii="Arial" w:hAnsi="Arial"/>
                <w:b/>
                <w:i w:val="0"/>
                <w:color w:val="FFFFFF"/>
                <w:sz w:val="16"/>
              </w:rPr>
              <w:t>Superadas</w:t>
            </w:r>
          </w:p>
        </w:tc>
        <w:tc>
          <w:tcPr>
            <w:tcW w:type="dxa" w:w="1224"/>
            <w:vAlign w:val="top"/>
            <w:shd w:fill="123B66"/>
          </w:tcPr>
          <w:p>
            <w:pPr>
              <w:spacing w:before="0" w:after="20" w:line="240" w:lineRule="auto"/>
            </w:pPr>
            <w:r>
              <w:rPr>
                <w:rFonts w:ascii="Arial" w:hAnsi="Arial"/>
                <w:b/>
                <w:color w:val="FFFFFF"/>
                <w:sz w:val="16"/>
              </w:rPr>
            </w:r>
            <w:r>
              <w:rPr>
                <w:rFonts w:ascii="Arial" w:hAnsi="Arial"/>
                <w:b/>
                <w:i w:val="0"/>
                <w:color w:val="FFFFFF"/>
                <w:sz w:val="16"/>
              </w:rPr>
              <w:t>Fallidas</w:t>
            </w:r>
          </w:p>
        </w:tc>
        <w:tc>
          <w:tcPr>
            <w:tcW w:type="dxa" w:w="2088"/>
            <w:vAlign w:val="top"/>
            <w:shd w:fill="123B66"/>
          </w:tcPr>
          <w:p>
            <w:pPr>
              <w:spacing w:before="0" w:after="20" w:line="240" w:lineRule="auto"/>
            </w:pPr>
            <w:r>
              <w:rPr>
                <w:rFonts w:ascii="Arial" w:hAnsi="Arial"/>
                <w:b/>
                <w:color w:val="FFFFFF"/>
                <w:sz w:val="16"/>
              </w:rPr>
            </w:r>
            <w:r>
              <w:rPr>
                <w:rFonts w:ascii="Arial" w:hAnsi="Arial"/>
                <w:b/>
                <w:i w:val="0"/>
                <w:color w:val="FFFFFF"/>
                <w:sz w:val="16"/>
              </w:rPr>
              <w:t>Omitidas</w:t>
            </w:r>
          </w:p>
        </w:tc>
      </w:tr>
      <w:tr>
        <w:trPr>
          <w:cantSplit/>
        </w:trPr>
        <w:tc>
          <w:tcPr>
            <w:tcW w:type="dxa" w:w="3960"/>
            <w:vAlign w:val="top"/>
          </w:tcPr>
          <w:p>
            <w:pPr>
              <w:spacing w:before="0" w:after="20" w:line="240" w:lineRule="auto"/>
            </w:pPr>
            <w:r>
              <w:rPr>
                <w:rFonts w:ascii="Arial" w:hAnsi="Arial"/>
                <w:sz w:val="16"/>
              </w:rPr>
            </w:r>
            <w:r>
              <w:rPr>
                <w:rFonts w:ascii="Arial" w:hAnsi="Arial"/>
                <w:b w:val="0"/>
                <w:i w:val="0"/>
                <w:sz w:val="16"/>
              </w:rPr>
              <w:t>Puertas del recolector</w:t>
            </w:r>
          </w:p>
        </w:tc>
        <w:tc>
          <w:tcPr>
            <w:tcW w:type="dxa" w:w="1224"/>
            <w:vAlign w:val="top"/>
          </w:tcPr>
          <w:p>
            <w:pPr>
              <w:spacing w:before="0" w:after="20" w:line="240" w:lineRule="auto"/>
            </w:pPr>
            <w:r>
              <w:rPr>
                <w:rFonts w:ascii="Arial" w:hAnsi="Arial"/>
                <w:sz w:val="16"/>
              </w:rPr>
            </w:r>
            <w:r>
              <w:rPr>
                <w:rFonts w:ascii="Arial" w:hAnsi="Arial"/>
                <w:b w:val="0"/>
                <w:i w:val="0"/>
                <w:sz w:val="16"/>
              </w:rPr>
              <w:t>13</w:t>
            </w:r>
          </w:p>
        </w:tc>
        <w:tc>
          <w:tcPr>
            <w:tcW w:type="dxa" w:w="1224"/>
            <w:vAlign w:val="top"/>
          </w:tcPr>
          <w:p>
            <w:pPr>
              <w:spacing w:before="0" w:after="20" w:line="240" w:lineRule="auto"/>
            </w:pPr>
            <w:r>
              <w:rPr>
                <w:rFonts w:ascii="Arial" w:hAnsi="Arial"/>
                <w:sz w:val="16"/>
              </w:rPr>
            </w:r>
            <w:r>
              <w:rPr>
                <w:rFonts w:ascii="Arial" w:hAnsi="Arial"/>
                <w:b w:val="0"/>
                <w:i w:val="0"/>
                <w:sz w:val="16"/>
              </w:rPr>
              <w:t>13</w:t>
            </w:r>
          </w:p>
        </w:tc>
        <w:tc>
          <w:tcPr>
            <w:tcW w:type="dxa" w:w="1224"/>
            <w:vAlign w:val="top"/>
          </w:tcPr>
          <w:p>
            <w:pPr>
              <w:spacing w:before="0" w:after="20" w:line="240" w:lineRule="auto"/>
            </w:pPr>
            <w:r>
              <w:rPr>
                <w:rFonts w:ascii="Arial" w:hAnsi="Arial"/>
                <w:sz w:val="16"/>
              </w:rPr>
            </w:r>
            <w:r>
              <w:rPr>
                <w:rFonts w:ascii="Arial" w:hAnsi="Arial"/>
                <w:b w:val="0"/>
                <w:i w:val="0"/>
                <w:sz w:val="16"/>
              </w:rPr>
              <w:t>0</w:t>
            </w:r>
          </w:p>
        </w:tc>
        <w:tc>
          <w:tcPr>
            <w:tcW w:type="dxa" w:w="2088"/>
            <w:vAlign w:val="top"/>
          </w:tcPr>
          <w:p>
            <w:pPr>
              <w:spacing w:before="0" w:after="20" w:line="240" w:lineRule="auto"/>
            </w:pPr>
            <w:r>
              <w:rPr>
                <w:rFonts w:ascii="Arial" w:hAnsi="Arial"/>
                <w:sz w:val="16"/>
              </w:rPr>
            </w:r>
            <w:r>
              <w:rPr>
                <w:rFonts w:ascii="Arial" w:hAnsi="Arial"/>
                <w:b w:val="0"/>
                <w:i w:val="0"/>
                <w:sz w:val="16"/>
              </w:rPr>
              <w:t>0</w:t>
            </w:r>
          </w:p>
        </w:tc>
      </w:tr>
      <w:tr>
        <w:trPr>
          <w:cantSplit/>
        </w:trPr>
        <w:tc>
          <w:tcPr>
            <w:tcW w:type="dxa" w:w="3960"/>
            <w:vAlign w:val="top"/>
            <w:shd w:fill="F3F6F9"/>
          </w:tcPr>
          <w:p>
            <w:pPr>
              <w:spacing w:before="0" w:after="20" w:line="240" w:lineRule="auto"/>
            </w:pPr>
            <w:r>
              <w:rPr>
                <w:rFonts w:ascii="Arial" w:hAnsi="Arial"/>
                <w:sz w:val="16"/>
              </w:rPr>
            </w:r>
            <w:r>
              <w:rPr>
                <w:rFonts w:ascii="Arial" w:hAnsi="Arial"/>
                <w:b w:val="0"/>
                <w:i w:val="0"/>
                <w:sz w:val="16"/>
              </w:rPr>
              <w:t>Casos automatizados contabilizados por TAP/Jest/Mocha</w:t>
            </w:r>
          </w:p>
        </w:tc>
        <w:tc>
          <w:tcPr>
            <w:tcW w:type="dxa" w:w="1224"/>
            <w:vAlign w:val="top"/>
            <w:shd w:fill="F3F6F9"/>
          </w:tcPr>
          <w:p>
            <w:pPr>
              <w:spacing w:before="0" w:after="20" w:line="240" w:lineRule="auto"/>
            </w:pPr>
            <w:r>
              <w:rPr>
                <w:rFonts w:ascii="Arial" w:hAnsi="Arial"/>
                <w:sz w:val="16"/>
              </w:rPr>
            </w:r>
            <w:r>
              <w:rPr>
                <w:rFonts w:ascii="Arial" w:hAnsi="Arial"/>
                <w:b w:val="0"/>
                <w:i w:val="0"/>
                <w:sz w:val="16"/>
              </w:rPr>
              <w:t>111</w:t>
            </w:r>
          </w:p>
        </w:tc>
        <w:tc>
          <w:tcPr>
            <w:tcW w:type="dxa" w:w="1224"/>
            <w:vAlign w:val="top"/>
            <w:shd w:fill="F3F6F9"/>
          </w:tcPr>
          <w:p>
            <w:pPr>
              <w:spacing w:before="0" w:after="20" w:line="240" w:lineRule="auto"/>
            </w:pPr>
            <w:r>
              <w:rPr>
                <w:rFonts w:ascii="Arial" w:hAnsi="Arial"/>
                <w:sz w:val="16"/>
              </w:rPr>
            </w:r>
            <w:r>
              <w:rPr>
                <w:rFonts w:ascii="Arial" w:hAnsi="Arial"/>
                <w:b w:val="0"/>
                <w:i w:val="0"/>
                <w:sz w:val="16"/>
              </w:rPr>
              <w:t>111</w:t>
            </w:r>
          </w:p>
        </w:tc>
        <w:tc>
          <w:tcPr>
            <w:tcW w:type="dxa" w:w="1224"/>
            <w:vAlign w:val="top"/>
            <w:shd w:fill="F3F6F9"/>
          </w:tcPr>
          <w:p>
            <w:pPr>
              <w:spacing w:before="0" w:after="20" w:line="240" w:lineRule="auto"/>
            </w:pPr>
            <w:r>
              <w:rPr>
                <w:rFonts w:ascii="Arial" w:hAnsi="Arial"/>
                <w:sz w:val="16"/>
              </w:rPr>
            </w:r>
            <w:r>
              <w:rPr>
                <w:rFonts w:ascii="Arial" w:hAnsi="Arial"/>
                <w:b w:val="0"/>
                <w:i w:val="0"/>
                <w:sz w:val="16"/>
              </w:rPr>
              <w:t>0</w:t>
            </w:r>
          </w:p>
        </w:tc>
        <w:tc>
          <w:tcPr>
            <w:tcW w:type="dxa" w:w="2088"/>
            <w:vAlign w:val="top"/>
            <w:shd w:fill="F3F6F9"/>
          </w:tcPr>
          <w:p>
            <w:pPr>
              <w:spacing w:before="0" w:after="20" w:line="240" w:lineRule="auto"/>
            </w:pPr>
            <w:r>
              <w:rPr>
                <w:rFonts w:ascii="Arial" w:hAnsi="Arial"/>
                <w:sz w:val="16"/>
              </w:rPr>
            </w:r>
            <w:r>
              <w:rPr>
                <w:rFonts w:ascii="Arial" w:hAnsi="Arial"/>
                <w:b w:val="0"/>
                <w:i w:val="0"/>
                <w:sz w:val="16"/>
              </w:rPr>
              <w:t>0</w:t>
            </w:r>
          </w:p>
        </w:tc>
      </w:tr>
    </w:tbl>
    <w:p>
      <w:pPr>
        <w:spacing w:after="20"/>
      </w:pPr>
    </w:p>
    <w:p>
      <w:pPr>
        <w:spacing w:before="0" w:after="80" w:line="252" w:lineRule="auto"/>
      </w:pPr>
      <w:r>
        <w:rPr>
          <w:rFonts w:ascii="Arial" w:hAnsi="Arial"/>
          <w:b w:val="0"/>
          <w:i w:val="0"/>
          <w:color w:val="4B6075"/>
          <w:sz w:val="17"/>
        </w:rPr>
        <w:t>Los recorridos Docker, Fabric, Kubernetes y persistencia contienen múltiples comprobaciones operativas, pero se contabilizan como puertas E2E. No se inflan artificialmente como casos unitarios adicionales.</w:t>
      </w:r>
    </w:p>
    <w:p>
      <w:pPr>
        <w:pStyle w:val="Heading1"/>
        <w:spacing w:before="160" w:after="60" w:line="252" w:lineRule="auto"/>
      </w:pPr>
      <w:r>
        <w:rPr>
          <w:rFonts w:ascii="Arial" w:hAnsi="Arial"/>
          <w:b w:val="0"/>
          <w:i w:val="0"/>
          <w:sz w:val="19"/>
        </w:rPr>
        <w:t>4. Resultados por componente</w:t>
      </w:r>
    </w:p>
    <w:tbl>
      <w:tblPr>
        <w:tblStyle w:val="TableGrid"/>
        <w:tblW w:type="auto" w:w="0"/>
        <w:jc w:val="center"/>
        <w:tblLayout w:type="autofit"/>
        <w:tblLook w:firstColumn="1" w:firstRow="1" w:lastColumn="0" w:lastRow="0" w:noHBand="0" w:noVBand="1" w:val="04A0"/>
      </w:tblPr>
      <w:tblGrid>
        <w:gridCol w:w="2062"/>
        <w:gridCol w:w="2062"/>
        <w:gridCol w:w="2062"/>
        <w:gridCol w:w="2062"/>
        <w:gridCol w:w="2062"/>
      </w:tblGrid>
      <w:tr>
        <w:trPr>
          <w:cantSplit/>
          <w:tblHeader w:val="true"/>
        </w:trPr>
        <w:tc>
          <w:tcPr>
            <w:tcW w:type="dxa" w:w="3960"/>
            <w:vAlign w:val="top"/>
            <w:shd w:fill="123B66"/>
          </w:tcPr>
          <w:p>
            <w:pPr>
              <w:spacing w:before="0" w:after="20" w:line="240" w:lineRule="auto"/>
            </w:pPr>
            <w:r>
              <w:rPr>
                <w:rFonts w:ascii="Arial" w:hAnsi="Arial"/>
                <w:b/>
                <w:color w:val="FFFFFF"/>
                <w:sz w:val="16"/>
              </w:rPr>
            </w:r>
            <w:r>
              <w:rPr>
                <w:rFonts w:ascii="Arial" w:hAnsi="Arial"/>
                <w:b/>
                <w:i w:val="0"/>
                <w:color w:val="FFFFFF"/>
                <w:sz w:val="16"/>
              </w:rPr>
              <w:t>Componente</w:t>
            </w:r>
          </w:p>
        </w:tc>
        <w:tc>
          <w:tcPr>
            <w:tcW w:type="dxa" w:w="1224"/>
            <w:vAlign w:val="top"/>
            <w:shd w:fill="123B66"/>
          </w:tcPr>
          <w:p>
            <w:pPr>
              <w:spacing w:before="0" w:after="20" w:line="240" w:lineRule="auto"/>
            </w:pPr>
            <w:r>
              <w:rPr>
                <w:rFonts w:ascii="Arial" w:hAnsi="Arial"/>
                <w:b/>
                <w:color w:val="FFFFFF"/>
                <w:sz w:val="16"/>
              </w:rPr>
            </w:r>
            <w:r>
              <w:rPr>
                <w:rFonts w:ascii="Arial" w:hAnsi="Arial"/>
                <w:b/>
                <w:i w:val="0"/>
                <w:color w:val="FFFFFF"/>
                <w:sz w:val="16"/>
              </w:rPr>
              <w:t>Casos</w:t>
            </w:r>
          </w:p>
        </w:tc>
        <w:tc>
          <w:tcPr>
            <w:tcW w:type="dxa" w:w="1224"/>
            <w:vAlign w:val="top"/>
            <w:shd w:fill="123B66"/>
          </w:tcPr>
          <w:p>
            <w:pPr>
              <w:spacing w:before="0" w:after="20" w:line="240" w:lineRule="auto"/>
            </w:pPr>
            <w:r>
              <w:rPr>
                <w:rFonts w:ascii="Arial" w:hAnsi="Arial"/>
                <w:b/>
                <w:color w:val="FFFFFF"/>
                <w:sz w:val="16"/>
              </w:rPr>
            </w:r>
            <w:r>
              <w:rPr>
                <w:rFonts w:ascii="Arial" w:hAnsi="Arial"/>
                <w:b/>
                <w:i w:val="0"/>
                <w:color w:val="FFFFFF"/>
                <w:sz w:val="16"/>
              </w:rPr>
              <w:t>Superados</w:t>
            </w:r>
          </w:p>
        </w:tc>
        <w:tc>
          <w:tcPr>
            <w:tcW w:type="dxa" w:w="1224"/>
            <w:vAlign w:val="top"/>
            <w:shd w:fill="123B66"/>
          </w:tcPr>
          <w:p>
            <w:pPr>
              <w:spacing w:before="0" w:after="20" w:line="240" w:lineRule="auto"/>
            </w:pPr>
            <w:r>
              <w:rPr>
                <w:rFonts w:ascii="Arial" w:hAnsi="Arial"/>
                <w:b/>
                <w:color w:val="FFFFFF"/>
                <w:sz w:val="16"/>
              </w:rPr>
            </w:r>
            <w:r>
              <w:rPr>
                <w:rFonts w:ascii="Arial" w:hAnsi="Arial"/>
                <w:b/>
                <w:i w:val="0"/>
                <w:color w:val="FFFFFF"/>
                <w:sz w:val="16"/>
              </w:rPr>
              <w:t>Fallidos</w:t>
            </w:r>
          </w:p>
        </w:tc>
        <w:tc>
          <w:tcPr>
            <w:tcW w:type="dxa" w:w="2088"/>
            <w:vAlign w:val="top"/>
            <w:shd w:fill="123B66"/>
          </w:tcPr>
          <w:p>
            <w:pPr>
              <w:spacing w:before="0" w:after="20" w:line="240" w:lineRule="auto"/>
            </w:pPr>
            <w:r>
              <w:rPr>
                <w:rFonts w:ascii="Arial" w:hAnsi="Arial"/>
                <w:b/>
                <w:color w:val="FFFFFF"/>
                <w:sz w:val="16"/>
              </w:rPr>
            </w:r>
            <w:r>
              <w:rPr>
                <w:rFonts w:ascii="Arial" w:hAnsi="Arial"/>
                <w:b/>
                <w:i w:val="0"/>
                <w:color w:val="FFFFFF"/>
                <w:sz w:val="16"/>
              </w:rPr>
              <w:t>Resultado de puerta</w:t>
            </w:r>
          </w:p>
        </w:tc>
      </w:tr>
      <w:tr>
        <w:trPr>
          <w:cantSplit/>
        </w:trPr>
        <w:tc>
          <w:tcPr>
            <w:tcW w:type="dxa" w:w="3960"/>
            <w:vAlign w:val="top"/>
          </w:tcPr>
          <w:p>
            <w:pPr>
              <w:spacing w:before="0" w:after="20" w:line="240" w:lineRule="auto"/>
            </w:pPr>
            <w:r>
              <w:rPr>
                <w:rFonts w:ascii="Arial" w:hAnsi="Arial"/>
                <w:sz w:val="16"/>
              </w:rPr>
            </w:r>
            <w:r>
              <w:rPr>
                <w:rFonts w:ascii="Arial" w:hAnsi="Arial"/>
                <w:b w:val="0"/>
                <w:i w:val="0"/>
                <w:sz w:val="16"/>
              </w:rPr>
              <w:t>Dataspace CA: publicación, DID, JWKS, X.509 y derivación de claves</w:t>
            </w:r>
          </w:p>
        </w:tc>
        <w:tc>
          <w:tcPr>
            <w:tcW w:type="dxa" w:w="1224"/>
            <w:vAlign w:val="top"/>
          </w:tcPr>
          <w:p>
            <w:pPr>
              <w:spacing w:before="0" w:after="20" w:line="240" w:lineRule="auto"/>
            </w:pPr>
            <w:r>
              <w:rPr>
                <w:rFonts w:ascii="Arial" w:hAnsi="Arial"/>
                <w:sz w:val="16"/>
              </w:rPr>
            </w:r>
            <w:r>
              <w:rPr>
                <w:rFonts w:ascii="Arial" w:hAnsi="Arial"/>
                <w:b w:val="0"/>
                <w:i w:val="0"/>
                <w:sz w:val="16"/>
              </w:rPr>
              <w:t>5</w:t>
            </w:r>
          </w:p>
        </w:tc>
        <w:tc>
          <w:tcPr>
            <w:tcW w:type="dxa" w:w="1224"/>
            <w:vAlign w:val="top"/>
          </w:tcPr>
          <w:p>
            <w:pPr>
              <w:spacing w:before="0" w:after="20" w:line="240" w:lineRule="auto"/>
            </w:pPr>
            <w:r>
              <w:rPr>
                <w:rFonts w:ascii="Arial" w:hAnsi="Arial"/>
                <w:sz w:val="16"/>
              </w:rPr>
            </w:r>
            <w:r>
              <w:rPr>
                <w:rFonts w:ascii="Arial" w:hAnsi="Arial"/>
                <w:b w:val="0"/>
                <w:i w:val="0"/>
                <w:sz w:val="16"/>
              </w:rPr>
              <w:t>5</w:t>
            </w:r>
          </w:p>
        </w:tc>
        <w:tc>
          <w:tcPr>
            <w:tcW w:type="dxa" w:w="1224"/>
            <w:vAlign w:val="top"/>
          </w:tcPr>
          <w:p>
            <w:pPr>
              <w:spacing w:before="0" w:after="20" w:line="240" w:lineRule="auto"/>
            </w:pPr>
            <w:r>
              <w:rPr>
                <w:rFonts w:ascii="Arial" w:hAnsi="Arial"/>
                <w:sz w:val="16"/>
              </w:rPr>
            </w:r>
            <w:r>
              <w:rPr>
                <w:rFonts w:ascii="Arial" w:hAnsi="Arial"/>
                <w:b w:val="0"/>
                <w:i w:val="0"/>
                <w:sz w:val="16"/>
              </w:rPr>
              <w:t>0</w:t>
            </w:r>
          </w:p>
        </w:tc>
        <w:tc>
          <w:tcPr>
            <w:tcW w:type="dxa" w:w="2088"/>
            <w:vAlign w:val="top"/>
          </w:tcPr>
          <w:p>
            <w:pPr>
              <w:spacing w:before="0" w:after="20" w:line="240" w:lineRule="auto"/>
            </w:pPr>
            <w:r>
              <w:rPr>
                <w:rFonts w:ascii="Arial" w:hAnsi="Arial"/>
                <w:sz w:val="16"/>
              </w:rPr>
            </w:r>
            <w:r>
              <w:rPr>
                <w:rFonts w:ascii="Arial" w:hAnsi="Arial"/>
                <w:b w:val="0"/>
                <w:i w:val="0"/>
                <w:sz w:val="16"/>
              </w:rPr>
              <w:t>PASS</w:t>
            </w:r>
          </w:p>
        </w:tc>
      </w:tr>
      <w:tr>
        <w:trPr>
          <w:cantSplit/>
        </w:trPr>
        <w:tc>
          <w:tcPr>
            <w:tcW w:type="dxa" w:w="3960"/>
            <w:vAlign w:val="top"/>
            <w:shd w:fill="F3F6F9"/>
          </w:tcPr>
          <w:p>
            <w:pPr>
              <w:spacing w:before="0" w:after="20" w:line="240" w:lineRule="auto"/>
            </w:pPr>
            <w:r>
              <w:rPr>
                <w:rFonts w:ascii="Arial" w:hAnsi="Arial"/>
                <w:sz w:val="16"/>
              </w:rPr>
            </w:r>
            <w:r>
              <w:rPr>
                <w:rFonts w:ascii="Arial" w:hAnsi="Arial"/>
                <w:b w:val="0"/>
                <w:i w:val="0"/>
                <w:sz w:val="16"/>
              </w:rPr>
              <w:t>Dataspace ICA: contrato de Host Service VC y preautorización/activación</w:t>
            </w:r>
          </w:p>
        </w:tc>
        <w:tc>
          <w:tcPr>
            <w:tcW w:type="dxa" w:w="1224"/>
            <w:vAlign w:val="top"/>
            <w:shd w:fill="F3F6F9"/>
          </w:tcPr>
          <w:p>
            <w:pPr>
              <w:spacing w:before="0" w:after="20" w:line="240" w:lineRule="auto"/>
            </w:pPr>
            <w:r>
              <w:rPr>
                <w:rFonts w:ascii="Arial" w:hAnsi="Arial"/>
                <w:sz w:val="16"/>
              </w:rPr>
            </w:r>
            <w:r>
              <w:rPr>
                <w:rFonts w:ascii="Arial" w:hAnsi="Arial"/>
                <w:b w:val="0"/>
                <w:i w:val="0"/>
                <w:sz w:val="16"/>
              </w:rPr>
              <w:t>44</w:t>
            </w:r>
          </w:p>
        </w:tc>
        <w:tc>
          <w:tcPr>
            <w:tcW w:type="dxa" w:w="1224"/>
            <w:vAlign w:val="top"/>
            <w:shd w:fill="F3F6F9"/>
          </w:tcPr>
          <w:p>
            <w:pPr>
              <w:spacing w:before="0" w:after="20" w:line="240" w:lineRule="auto"/>
            </w:pPr>
            <w:r>
              <w:rPr>
                <w:rFonts w:ascii="Arial" w:hAnsi="Arial"/>
                <w:sz w:val="16"/>
              </w:rPr>
            </w:r>
            <w:r>
              <w:rPr>
                <w:rFonts w:ascii="Arial" w:hAnsi="Arial"/>
                <w:b w:val="0"/>
                <w:i w:val="0"/>
                <w:sz w:val="16"/>
              </w:rPr>
              <w:t>44</w:t>
            </w:r>
          </w:p>
        </w:tc>
        <w:tc>
          <w:tcPr>
            <w:tcW w:type="dxa" w:w="1224"/>
            <w:vAlign w:val="top"/>
            <w:shd w:fill="F3F6F9"/>
          </w:tcPr>
          <w:p>
            <w:pPr>
              <w:spacing w:before="0" w:after="20" w:line="240" w:lineRule="auto"/>
            </w:pPr>
            <w:r>
              <w:rPr>
                <w:rFonts w:ascii="Arial" w:hAnsi="Arial"/>
                <w:sz w:val="16"/>
              </w:rPr>
            </w:r>
            <w:r>
              <w:rPr>
                <w:rFonts w:ascii="Arial" w:hAnsi="Arial"/>
                <w:b w:val="0"/>
                <w:i w:val="0"/>
                <w:sz w:val="16"/>
              </w:rPr>
              <w:t>0</w:t>
            </w:r>
          </w:p>
        </w:tc>
        <w:tc>
          <w:tcPr>
            <w:tcW w:type="dxa" w:w="2088"/>
            <w:vAlign w:val="top"/>
            <w:shd w:fill="F3F6F9"/>
          </w:tcPr>
          <w:p>
            <w:pPr>
              <w:spacing w:before="0" w:after="20" w:line="240" w:lineRule="auto"/>
            </w:pPr>
            <w:r>
              <w:rPr>
                <w:rFonts w:ascii="Arial" w:hAnsi="Arial"/>
                <w:sz w:val="16"/>
              </w:rPr>
            </w:r>
            <w:r>
              <w:rPr>
                <w:rFonts w:ascii="Arial" w:hAnsi="Arial"/>
                <w:b w:val="0"/>
                <w:i w:val="0"/>
                <w:sz w:val="16"/>
              </w:rPr>
              <w:t>PASS</w:t>
            </w:r>
          </w:p>
        </w:tc>
      </w:tr>
      <w:tr>
        <w:trPr>
          <w:cantSplit/>
        </w:trPr>
        <w:tc>
          <w:tcPr>
            <w:tcW w:type="dxa" w:w="3960"/>
            <w:vAlign w:val="top"/>
          </w:tcPr>
          <w:p>
            <w:pPr>
              <w:spacing w:before="0" w:after="20" w:line="240" w:lineRule="auto"/>
            </w:pPr>
            <w:r>
              <w:rPr>
                <w:rFonts w:ascii="Arial" w:hAnsi="Arial"/>
                <w:sz w:val="16"/>
              </w:rPr>
            </w:r>
            <w:r>
              <w:rPr>
                <w:rFonts w:ascii="Arial" w:hAnsi="Arial"/>
                <w:b w:val="0"/>
                <w:i w:val="0"/>
                <w:sz w:val="16"/>
              </w:rPr>
              <w:t>Migración ICA Firestore/GCS → PostgreSQL/IPFS</w:t>
            </w:r>
          </w:p>
        </w:tc>
        <w:tc>
          <w:tcPr>
            <w:tcW w:type="dxa" w:w="1224"/>
            <w:vAlign w:val="top"/>
          </w:tcPr>
          <w:p>
            <w:pPr>
              <w:spacing w:before="0" w:after="20" w:line="240" w:lineRule="auto"/>
            </w:pPr>
            <w:r>
              <w:rPr>
                <w:rFonts w:ascii="Arial" w:hAnsi="Arial"/>
                <w:sz w:val="16"/>
              </w:rPr>
            </w:r>
            <w:r>
              <w:rPr>
                <w:rFonts w:ascii="Arial" w:hAnsi="Arial"/>
                <w:b w:val="0"/>
                <w:i w:val="0"/>
                <w:sz w:val="16"/>
              </w:rPr>
              <w:t>3</w:t>
            </w:r>
          </w:p>
        </w:tc>
        <w:tc>
          <w:tcPr>
            <w:tcW w:type="dxa" w:w="1224"/>
            <w:vAlign w:val="top"/>
          </w:tcPr>
          <w:p>
            <w:pPr>
              <w:spacing w:before="0" w:after="20" w:line="240" w:lineRule="auto"/>
            </w:pPr>
            <w:r>
              <w:rPr>
                <w:rFonts w:ascii="Arial" w:hAnsi="Arial"/>
                <w:sz w:val="16"/>
              </w:rPr>
            </w:r>
            <w:r>
              <w:rPr>
                <w:rFonts w:ascii="Arial" w:hAnsi="Arial"/>
                <w:b w:val="0"/>
                <w:i w:val="0"/>
                <w:sz w:val="16"/>
              </w:rPr>
              <w:t>3</w:t>
            </w:r>
          </w:p>
        </w:tc>
        <w:tc>
          <w:tcPr>
            <w:tcW w:type="dxa" w:w="1224"/>
            <w:vAlign w:val="top"/>
          </w:tcPr>
          <w:p>
            <w:pPr>
              <w:spacing w:before="0" w:after="20" w:line="240" w:lineRule="auto"/>
            </w:pPr>
            <w:r>
              <w:rPr>
                <w:rFonts w:ascii="Arial" w:hAnsi="Arial"/>
                <w:sz w:val="16"/>
              </w:rPr>
            </w:r>
            <w:r>
              <w:rPr>
                <w:rFonts w:ascii="Arial" w:hAnsi="Arial"/>
                <w:b w:val="0"/>
                <w:i w:val="0"/>
                <w:sz w:val="16"/>
              </w:rPr>
              <w:t>0</w:t>
            </w:r>
          </w:p>
        </w:tc>
        <w:tc>
          <w:tcPr>
            <w:tcW w:type="dxa" w:w="2088"/>
            <w:vAlign w:val="top"/>
          </w:tcPr>
          <w:p>
            <w:pPr>
              <w:spacing w:before="0" w:after="20" w:line="240" w:lineRule="auto"/>
            </w:pPr>
            <w:r>
              <w:rPr>
                <w:rFonts w:ascii="Arial" w:hAnsi="Arial"/>
                <w:sz w:val="16"/>
              </w:rPr>
            </w:r>
            <w:r>
              <w:rPr>
                <w:rFonts w:ascii="Arial" w:hAnsi="Arial"/>
                <w:b w:val="0"/>
                <w:i w:val="0"/>
                <w:sz w:val="16"/>
              </w:rPr>
              <w:t>PASS</w:t>
            </w:r>
          </w:p>
        </w:tc>
      </w:tr>
      <w:tr>
        <w:trPr>
          <w:cantSplit/>
        </w:trPr>
        <w:tc>
          <w:tcPr>
            <w:tcW w:type="dxa" w:w="3960"/>
            <w:vAlign w:val="top"/>
            <w:shd w:fill="F3F6F9"/>
          </w:tcPr>
          <w:p>
            <w:pPr>
              <w:spacing w:before="0" w:after="20" w:line="240" w:lineRule="auto"/>
            </w:pPr>
            <w:r>
              <w:rPr>
                <w:rFonts w:ascii="Arial" w:hAnsi="Arial"/>
                <w:sz w:val="16"/>
              </w:rPr>
            </w:r>
            <w:r>
              <w:rPr>
                <w:rFonts w:ascii="Arial" w:hAnsi="Arial"/>
                <w:b w:val="0"/>
                <w:i w:val="0"/>
                <w:sz w:val="16"/>
              </w:rPr>
              <w:t>Gobernanza Fabric y reconciliación</w:t>
            </w:r>
          </w:p>
        </w:tc>
        <w:tc>
          <w:tcPr>
            <w:tcW w:type="dxa" w:w="1224"/>
            <w:vAlign w:val="top"/>
            <w:shd w:fill="F3F6F9"/>
          </w:tcPr>
          <w:p>
            <w:pPr>
              <w:spacing w:before="0" w:after="20" w:line="240" w:lineRule="auto"/>
            </w:pPr>
            <w:r>
              <w:rPr>
                <w:rFonts w:ascii="Arial" w:hAnsi="Arial"/>
                <w:sz w:val="16"/>
              </w:rPr>
            </w:r>
            <w:r>
              <w:rPr>
                <w:rFonts w:ascii="Arial" w:hAnsi="Arial"/>
                <w:b w:val="0"/>
                <w:i w:val="0"/>
                <w:sz w:val="16"/>
              </w:rPr>
              <w:t>21</w:t>
            </w:r>
          </w:p>
        </w:tc>
        <w:tc>
          <w:tcPr>
            <w:tcW w:type="dxa" w:w="1224"/>
            <w:vAlign w:val="top"/>
            <w:shd w:fill="F3F6F9"/>
          </w:tcPr>
          <w:p>
            <w:pPr>
              <w:spacing w:before="0" w:after="20" w:line="240" w:lineRule="auto"/>
            </w:pPr>
            <w:r>
              <w:rPr>
                <w:rFonts w:ascii="Arial" w:hAnsi="Arial"/>
                <w:sz w:val="16"/>
              </w:rPr>
            </w:r>
            <w:r>
              <w:rPr>
                <w:rFonts w:ascii="Arial" w:hAnsi="Arial"/>
                <w:b w:val="0"/>
                <w:i w:val="0"/>
                <w:sz w:val="16"/>
              </w:rPr>
              <w:t>21</w:t>
            </w:r>
          </w:p>
        </w:tc>
        <w:tc>
          <w:tcPr>
            <w:tcW w:type="dxa" w:w="1224"/>
            <w:vAlign w:val="top"/>
            <w:shd w:fill="F3F6F9"/>
          </w:tcPr>
          <w:p>
            <w:pPr>
              <w:spacing w:before="0" w:after="20" w:line="240" w:lineRule="auto"/>
            </w:pPr>
            <w:r>
              <w:rPr>
                <w:rFonts w:ascii="Arial" w:hAnsi="Arial"/>
                <w:sz w:val="16"/>
              </w:rPr>
            </w:r>
            <w:r>
              <w:rPr>
                <w:rFonts w:ascii="Arial" w:hAnsi="Arial"/>
                <w:b w:val="0"/>
                <w:i w:val="0"/>
                <w:sz w:val="16"/>
              </w:rPr>
              <w:t>0</w:t>
            </w:r>
          </w:p>
        </w:tc>
        <w:tc>
          <w:tcPr>
            <w:tcW w:type="dxa" w:w="2088"/>
            <w:vAlign w:val="top"/>
            <w:shd w:fill="F3F6F9"/>
          </w:tcPr>
          <w:p>
            <w:pPr>
              <w:spacing w:before="0" w:after="20" w:line="240" w:lineRule="auto"/>
            </w:pPr>
            <w:r>
              <w:rPr>
                <w:rFonts w:ascii="Arial" w:hAnsi="Arial"/>
                <w:sz w:val="16"/>
              </w:rPr>
            </w:r>
            <w:r>
              <w:rPr>
                <w:rFonts w:ascii="Arial" w:hAnsi="Arial"/>
                <w:b w:val="0"/>
                <w:i w:val="0"/>
                <w:sz w:val="16"/>
              </w:rPr>
              <w:t>PASS</w:t>
            </w:r>
          </w:p>
        </w:tc>
      </w:tr>
      <w:tr>
        <w:trPr>
          <w:cantSplit/>
        </w:trPr>
        <w:tc>
          <w:tcPr>
            <w:tcW w:type="dxa" w:w="3960"/>
            <w:vAlign w:val="top"/>
          </w:tcPr>
          <w:p>
            <w:pPr>
              <w:spacing w:before="0" w:after="20" w:line="240" w:lineRule="auto"/>
            </w:pPr>
            <w:r>
              <w:rPr>
                <w:rFonts w:ascii="Arial" w:hAnsi="Arial"/>
                <w:sz w:val="16"/>
              </w:rPr>
            </w:r>
            <w:r>
              <w:rPr>
                <w:rFonts w:ascii="Arial" w:hAnsi="Arial"/>
                <w:b w:val="0"/>
                <w:i w:val="0"/>
                <w:sz w:val="16"/>
              </w:rPr>
              <w:t>Suite instrumentada de smart contracts</w:t>
            </w:r>
          </w:p>
        </w:tc>
        <w:tc>
          <w:tcPr>
            <w:tcW w:type="dxa" w:w="1224"/>
            <w:vAlign w:val="top"/>
          </w:tcPr>
          <w:p>
            <w:pPr>
              <w:spacing w:before="0" w:after="20" w:line="240" w:lineRule="auto"/>
            </w:pPr>
            <w:r>
              <w:rPr>
                <w:rFonts w:ascii="Arial" w:hAnsi="Arial"/>
                <w:sz w:val="16"/>
              </w:rPr>
            </w:r>
            <w:r>
              <w:rPr>
                <w:rFonts w:ascii="Arial" w:hAnsi="Arial"/>
                <w:b w:val="0"/>
                <w:i w:val="0"/>
                <w:sz w:val="16"/>
              </w:rPr>
              <w:t>18</w:t>
            </w:r>
          </w:p>
        </w:tc>
        <w:tc>
          <w:tcPr>
            <w:tcW w:type="dxa" w:w="1224"/>
            <w:vAlign w:val="top"/>
          </w:tcPr>
          <w:p>
            <w:pPr>
              <w:spacing w:before="0" w:after="20" w:line="240" w:lineRule="auto"/>
            </w:pPr>
            <w:r>
              <w:rPr>
                <w:rFonts w:ascii="Arial" w:hAnsi="Arial"/>
                <w:sz w:val="16"/>
              </w:rPr>
            </w:r>
            <w:r>
              <w:rPr>
                <w:rFonts w:ascii="Arial" w:hAnsi="Arial"/>
                <w:b w:val="0"/>
                <w:i w:val="0"/>
                <w:sz w:val="16"/>
              </w:rPr>
              <w:t>18</w:t>
            </w:r>
          </w:p>
        </w:tc>
        <w:tc>
          <w:tcPr>
            <w:tcW w:type="dxa" w:w="1224"/>
            <w:vAlign w:val="top"/>
          </w:tcPr>
          <w:p>
            <w:pPr>
              <w:spacing w:before="0" w:after="20" w:line="240" w:lineRule="auto"/>
            </w:pPr>
            <w:r>
              <w:rPr>
                <w:rFonts w:ascii="Arial" w:hAnsi="Arial"/>
                <w:sz w:val="16"/>
              </w:rPr>
            </w:r>
            <w:r>
              <w:rPr>
                <w:rFonts w:ascii="Arial" w:hAnsi="Arial"/>
                <w:b w:val="0"/>
                <w:i w:val="0"/>
                <w:sz w:val="16"/>
              </w:rPr>
              <w:t>0</w:t>
            </w:r>
          </w:p>
        </w:tc>
        <w:tc>
          <w:tcPr>
            <w:tcW w:type="dxa" w:w="2088"/>
            <w:vAlign w:val="top"/>
          </w:tcPr>
          <w:p>
            <w:pPr>
              <w:spacing w:before="0" w:after="20" w:line="240" w:lineRule="auto"/>
            </w:pPr>
            <w:r>
              <w:rPr>
                <w:rFonts w:ascii="Arial" w:hAnsi="Arial"/>
                <w:sz w:val="16"/>
              </w:rPr>
            </w:r>
            <w:r>
              <w:rPr>
                <w:rFonts w:ascii="Arial" w:hAnsi="Arial"/>
                <w:b w:val="0"/>
                <w:i w:val="0"/>
                <w:sz w:val="16"/>
              </w:rPr>
              <w:t>PASS</w:t>
            </w:r>
          </w:p>
        </w:tc>
      </w:tr>
      <w:tr>
        <w:trPr>
          <w:cantSplit/>
        </w:trPr>
        <w:tc>
          <w:tcPr>
            <w:tcW w:type="dxa" w:w="3960"/>
            <w:vAlign w:val="top"/>
            <w:shd w:fill="F3F6F9"/>
          </w:tcPr>
          <w:p>
            <w:pPr>
              <w:spacing w:before="0" w:after="20" w:line="240" w:lineRule="auto"/>
            </w:pPr>
            <w:r>
              <w:rPr>
                <w:rFonts w:ascii="Arial" w:hAnsi="Arial"/>
                <w:sz w:val="16"/>
              </w:rPr>
            </w:r>
            <w:r>
              <w:rPr>
                <w:rFonts w:ascii="Arial" w:hAnsi="Arial"/>
                <w:b w:val="0"/>
                <w:i w:val="0"/>
                <w:sz w:val="16"/>
              </w:rPr>
              <w:t>Taxonomía de canales humanos de GW CORE</w:t>
            </w:r>
          </w:p>
        </w:tc>
        <w:tc>
          <w:tcPr>
            <w:tcW w:type="dxa" w:w="1224"/>
            <w:vAlign w:val="top"/>
            <w:shd w:fill="F3F6F9"/>
          </w:tcPr>
          <w:p>
            <w:pPr>
              <w:spacing w:before="0" w:after="20" w:line="240" w:lineRule="auto"/>
            </w:pPr>
            <w:r>
              <w:rPr>
                <w:rFonts w:ascii="Arial" w:hAnsi="Arial"/>
                <w:sz w:val="16"/>
              </w:rPr>
            </w:r>
            <w:r>
              <w:rPr>
                <w:rFonts w:ascii="Arial" w:hAnsi="Arial"/>
                <w:b w:val="0"/>
                <w:i w:val="0"/>
                <w:sz w:val="16"/>
              </w:rPr>
              <w:t>19</w:t>
            </w:r>
          </w:p>
        </w:tc>
        <w:tc>
          <w:tcPr>
            <w:tcW w:type="dxa" w:w="1224"/>
            <w:vAlign w:val="top"/>
            <w:shd w:fill="F3F6F9"/>
          </w:tcPr>
          <w:p>
            <w:pPr>
              <w:spacing w:before="0" w:after="20" w:line="240" w:lineRule="auto"/>
            </w:pPr>
            <w:r>
              <w:rPr>
                <w:rFonts w:ascii="Arial" w:hAnsi="Arial"/>
                <w:sz w:val="16"/>
              </w:rPr>
            </w:r>
            <w:r>
              <w:rPr>
                <w:rFonts w:ascii="Arial" w:hAnsi="Arial"/>
                <w:b w:val="0"/>
                <w:i w:val="0"/>
                <w:sz w:val="16"/>
              </w:rPr>
              <w:t>19</w:t>
            </w:r>
          </w:p>
        </w:tc>
        <w:tc>
          <w:tcPr>
            <w:tcW w:type="dxa" w:w="1224"/>
            <w:vAlign w:val="top"/>
            <w:shd w:fill="F3F6F9"/>
          </w:tcPr>
          <w:p>
            <w:pPr>
              <w:spacing w:before="0" w:after="20" w:line="240" w:lineRule="auto"/>
            </w:pPr>
            <w:r>
              <w:rPr>
                <w:rFonts w:ascii="Arial" w:hAnsi="Arial"/>
                <w:sz w:val="16"/>
              </w:rPr>
            </w:r>
            <w:r>
              <w:rPr>
                <w:rFonts w:ascii="Arial" w:hAnsi="Arial"/>
                <w:b w:val="0"/>
                <w:i w:val="0"/>
                <w:sz w:val="16"/>
              </w:rPr>
              <w:t>0</w:t>
            </w:r>
          </w:p>
        </w:tc>
        <w:tc>
          <w:tcPr>
            <w:tcW w:type="dxa" w:w="2088"/>
            <w:vAlign w:val="top"/>
            <w:shd w:fill="F3F6F9"/>
          </w:tcPr>
          <w:p>
            <w:pPr>
              <w:spacing w:before="0" w:after="20" w:line="240" w:lineRule="auto"/>
            </w:pPr>
            <w:r>
              <w:rPr>
                <w:rFonts w:ascii="Arial" w:hAnsi="Arial"/>
                <w:sz w:val="16"/>
              </w:rPr>
            </w:r>
            <w:r>
              <w:rPr>
                <w:rFonts w:ascii="Arial" w:hAnsi="Arial"/>
                <w:b w:val="0"/>
                <w:i w:val="0"/>
                <w:sz w:val="16"/>
              </w:rPr>
              <w:t>PASS</w:t>
            </w:r>
          </w:p>
        </w:tc>
      </w:tr>
      <w:tr>
        <w:trPr>
          <w:cantSplit/>
        </w:trPr>
        <w:tc>
          <w:tcPr>
            <w:tcW w:type="dxa" w:w="3960"/>
            <w:vAlign w:val="top"/>
          </w:tcPr>
          <w:p>
            <w:pPr>
              <w:spacing w:before="0" w:after="20" w:line="240" w:lineRule="auto"/>
            </w:pPr>
            <w:r>
              <w:rPr>
                <w:rFonts w:ascii="Arial" w:hAnsi="Arial"/>
                <w:sz w:val="16"/>
              </w:rPr>
            </w:r>
            <w:r>
              <w:rPr>
                <w:rFonts w:ascii="Arial" w:hAnsi="Arial"/>
                <w:b w:val="0"/>
                <w:i w:val="0"/>
                <w:sz w:val="16"/>
              </w:rPr>
              <w:t>Alta de empleado/BYOK DCR de GW CORE</w:t>
            </w:r>
          </w:p>
        </w:tc>
        <w:tc>
          <w:tcPr>
            <w:tcW w:type="dxa" w:w="1224"/>
            <w:vAlign w:val="top"/>
          </w:tcPr>
          <w:p>
            <w:pPr>
              <w:spacing w:before="0" w:after="20" w:line="240" w:lineRule="auto"/>
            </w:pPr>
            <w:r>
              <w:rPr>
                <w:rFonts w:ascii="Arial" w:hAnsi="Arial"/>
                <w:sz w:val="16"/>
              </w:rPr>
            </w:r>
            <w:r>
              <w:rPr>
                <w:rFonts w:ascii="Arial" w:hAnsi="Arial"/>
                <w:b w:val="0"/>
                <w:i w:val="0"/>
                <w:sz w:val="16"/>
              </w:rPr>
              <w:t>1</w:t>
            </w:r>
          </w:p>
        </w:tc>
        <w:tc>
          <w:tcPr>
            <w:tcW w:type="dxa" w:w="1224"/>
            <w:vAlign w:val="top"/>
          </w:tcPr>
          <w:p>
            <w:pPr>
              <w:spacing w:before="0" w:after="20" w:line="240" w:lineRule="auto"/>
            </w:pPr>
            <w:r>
              <w:rPr>
                <w:rFonts w:ascii="Arial" w:hAnsi="Arial"/>
                <w:sz w:val="16"/>
              </w:rPr>
            </w:r>
            <w:r>
              <w:rPr>
                <w:rFonts w:ascii="Arial" w:hAnsi="Arial"/>
                <w:b w:val="0"/>
                <w:i w:val="0"/>
                <w:sz w:val="16"/>
              </w:rPr>
              <w:t>1</w:t>
            </w:r>
          </w:p>
        </w:tc>
        <w:tc>
          <w:tcPr>
            <w:tcW w:type="dxa" w:w="1224"/>
            <w:vAlign w:val="top"/>
          </w:tcPr>
          <w:p>
            <w:pPr>
              <w:spacing w:before="0" w:after="20" w:line="240" w:lineRule="auto"/>
            </w:pPr>
            <w:r>
              <w:rPr>
                <w:rFonts w:ascii="Arial" w:hAnsi="Arial"/>
                <w:sz w:val="16"/>
              </w:rPr>
            </w:r>
            <w:r>
              <w:rPr>
                <w:rFonts w:ascii="Arial" w:hAnsi="Arial"/>
                <w:b w:val="0"/>
                <w:i w:val="0"/>
                <w:sz w:val="16"/>
              </w:rPr>
              <w:t>0</w:t>
            </w:r>
          </w:p>
        </w:tc>
        <w:tc>
          <w:tcPr>
            <w:tcW w:type="dxa" w:w="2088"/>
            <w:vAlign w:val="top"/>
          </w:tcPr>
          <w:p>
            <w:pPr>
              <w:spacing w:before="0" w:after="20" w:line="240" w:lineRule="auto"/>
            </w:pPr>
            <w:r>
              <w:rPr>
                <w:rFonts w:ascii="Arial" w:hAnsi="Arial"/>
                <w:sz w:val="16"/>
              </w:rPr>
            </w:r>
            <w:r>
              <w:rPr>
                <w:rFonts w:ascii="Arial" w:hAnsi="Arial"/>
                <w:b w:val="0"/>
                <w:i w:val="0"/>
                <w:sz w:val="16"/>
              </w:rPr>
              <w:t>PASS</w:t>
            </w:r>
          </w:p>
        </w:tc>
      </w:tr>
      <w:tr>
        <w:trPr>
          <w:cantSplit/>
        </w:trPr>
        <w:tc>
          <w:tcPr>
            <w:tcW w:type="dxa" w:w="3960"/>
            <w:vAlign w:val="top"/>
            <w:shd w:fill="F3F6F9"/>
          </w:tcPr>
          <w:p>
            <w:pPr>
              <w:spacing w:before="0" w:after="20" w:line="240" w:lineRule="auto"/>
            </w:pPr>
            <w:r>
              <w:rPr>
                <w:rFonts w:ascii="Arial" w:hAnsi="Arial"/>
                <w:sz w:val="16"/>
              </w:rPr>
            </w:r>
            <w:r>
              <w:rPr>
                <w:rFonts w:ascii="Arial" w:hAnsi="Arial"/>
                <w:b/>
                <w:i w:val="0"/>
                <w:sz w:val="16"/>
              </w:rPr>
              <w:t>Total de casos reportados</w:t>
            </w:r>
          </w:p>
        </w:tc>
        <w:tc>
          <w:tcPr>
            <w:tcW w:type="dxa" w:w="1224"/>
            <w:vAlign w:val="top"/>
            <w:shd w:fill="F3F6F9"/>
          </w:tcPr>
          <w:p>
            <w:pPr>
              <w:spacing w:before="0" w:after="20" w:line="240" w:lineRule="auto"/>
            </w:pPr>
            <w:r>
              <w:rPr>
                <w:rFonts w:ascii="Arial" w:hAnsi="Arial"/>
                <w:sz w:val="16"/>
              </w:rPr>
            </w:r>
            <w:r>
              <w:rPr>
                <w:rFonts w:ascii="Arial" w:hAnsi="Arial"/>
                <w:b/>
                <w:i w:val="0"/>
                <w:sz w:val="16"/>
              </w:rPr>
              <w:t>111</w:t>
            </w:r>
          </w:p>
        </w:tc>
        <w:tc>
          <w:tcPr>
            <w:tcW w:type="dxa" w:w="1224"/>
            <w:vAlign w:val="top"/>
            <w:shd w:fill="F3F6F9"/>
          </w:tcPr>
          <w:p>
            <w:pPr>
              <w:spacing w:before="0" w:after="20" w:line="240" w:lineRule="auto"/>
            </w:pPr>
            <w:r>
              <w:rPr>
                <w:rFonts w:ascii="Arial" w:hAnsi="Arial"/>
                <w:sz w:val="16"/>
              </w:rPr>
            </w:r>
            <w:r>
              <w:rPr>
                <w:rFonts w:ascii="Arial" w:hAnsi="Arial"/>
                <w:b/>
                <w:i w:val="0"/>
                <w:sz w:val="16"/>
              </w:rPr>
              <w:t>111</w:t>
            </w:r>
          </w:p>
        </w:tc>
        <w:tc>
          <w:tcPr>
            <w:tcW w:type="dxa" w:w="1224"/>
            <w:vAlign w:val="top"/>
            <w:shd w:fill="F3F6F9"/>
          </w:tcPr>
          <w:p>
            <w:pPr>
              <w:spacing w:before="0" w:after="20" w:line="240" w:lineRule="auto"/>
            </w:pPr>
            <w:r>
              <w:rPr>
                <w:rFonts w:ascii="Arial" w:hAnsi="Arial"/>
                <w:sz w:val="16"/>
              </w:rPr>
            </w:r>
            <w:r>
              <w:rPr>
                <w:rFonts w:ascii="Arial" w:hAnsi="Arial"/>
                <w:b/>
                <w:i w:val="0"/>
                <w:sz w:val="16"/>
              </w:rPr>
              <w:t>0</w:t>
            </w:r>
          </w:p>
        </w:tc>
        <w:tc>
          <w:tcPr>
            <w:tcW w:type="dxa" w:w="2088"/>
            <w:vAlign w:val="top"/>
            <w:shd w:fill="F3F6F9"/>
          </w:tcPr>
          <w:p>
            <w:pPr>
              <w:spacing w:before="0" w:after="20" w:line="240" w:lineRule="auto"/>
            </w:pPr>
            <w:r>
              <w:rPr>
                <w:rFonts w:ascii="Arial" w:hAnsi="Arial"/>
                <w:sz w:val="16"/>
              </w:rPr>
            </w:r>
            <w:r>
              <w:rPr>
                <w:rFonts w:ascii="Arial" w:hAnsi="Arial"/>
                <w:b/>
                <w:i w:val="0"/>
                <w:sz w:val="16"/>
              </w:rPr>
              <w:t>PASS</w:t>
            </w:r>
          </w:p>
        </w:tc>
      </w:tr>
    </w:tbl>
    <w:p>
      <w:pPr>
        <w:spacing w:after="20"/>
      </w:pPr>
    </w:p>
    <w:p>
      <w:pPr>
        <w:pStyle w:val="Heading1"/>
        <w:spacing w:before="160" w:after="60" w:line="252" w:lineRule="auto"/>
      </w:pPr>
      <w:r>
        <w:rPr>
          <w:rFonts w:ascii="Arial" w:hAnsi="Arial"/>
          <w:b w:val="0"/>
          <w:i w:val="0"/>
          <w:sz w:val="19"/>
        </w:rPr>
        <w:t>5. Puertas ejecutadas</w:t>
      </w:r>
    </w:p>
    <w:tbl>
      <w:tblPr>
        <w:tblStyle w:val="TableGrid"/>
        <w:tblW w:type="auto" w:w="0"/>
        <w:jc w:val="center"/>
        <w:tblLayout w:type="autofit"/>
        <w:tblLook w:firstColumn="1" w:firstRow="1" w:lastColumn="0" w:lastRow="0" w:noHBand="0" w:noVBand="1" w:val="04A0"/>
      </w:tblPr>
      <w:tblGrid>
        <w:gridCol w:w="3437"/>
        <w:gridCol w:w="3437"/>
        <w:gridCol w:w="3437"/>
      </w:tblGrid>
      <w:tr>
        <w:trPr>
          <w:cantSplit/>
          <w:tblHeader w:val="true"/>
        </w:trPr>
        <w:tc>
          <w:tcPr>
            <w:tcW w:type="dxa" w:w="2232"/>
            <w:vAlign w:val="top"/>
            <w:shd w:fill="123B66"/>
          </w:tcPr>
          <w:p>
            <w:pPr>
              <w:spacing w:before="0" w:after="20" w:line="240" w:lineRule="auto"/>
            </w:pPr>
            <w:r>
              <w:rPr>
                <w:rFonts w:ascii="Arial" w:hAnsi="Arial"/>
                <w:b/>
                <w:color w:val="FFFFFF"/>
                <w:sz w:val="16"/>
              </w:rPr>
            </w:r>
            <w:r>
              <w:rPr>
                <w:rFonts w:ascii="Arial" w:hAnsi="Arial"/>
                <w:b/>
                <w:i w:val="0"/>
                <w:color w:val="FFFFFF"/>
                <w:sz w:val="16"/>
              </w:rPr>
              <w:t>Puerta</w:t>
            </w:r>
          </w:p>
        </w:tc>
        <w:tc>
          <w:tcPr>
            <w:tcW w:type="dxa" w:w="3672"/>
            <w:vAlign w:val="top"/>
            <w:shd w:fill="123B66"/>
          </w:tcPr>
          <w:p>
            <w:pPr>
              <w:spacing w:before="0" w:after="20" w:line="240" w:lineRule="auto"/>
            </w:pPr>
            <w:r>
              <w:rPr>
                <w:rFonts w:ascii="Arial" w:hAnsi="Arial"/>
                <w:b/>
                <w:color w:val="FFFFFF"/>
                <w:sz w:val="16"/>
              </w:rPr>
            </w:r>
            <w:r>
              <w:rPr>
                <w:rFonts w:ascii="Arial" w:hAnsi="Arial"/>
                <w:b/>
                <w:i w:val="0"/>
                <w:color w:val="FFFFFF"/>
                <w:sz w:val="16"/>
              </w:rPr>
              <w:t>Resultado</w:t>
            </w:r>
          </w:p>
        </w:tc>
        <w:tc>
          <w:tcPr>
            <w:tcW w:type="dxa" w:w="3816"/>
            <w:vAlign w:val="top"/>
            <w:shd w:fill="123B66"/>
          </w:tcPr>
          <w:p>
            <w:pPr>
              <w:spacing w:before="0" w:after="20" w:line="240" w:lineRule="auto"/>
            </w:pPr>
            <w:r>
              <w:rPr>
                <w:rFonts w:ascii="Arial" w:hAnsi="Arial"/>
                <w:b/>
                <w:color w:val="FFFFFF"/>
                <w:sz w:val="16"/>
              </w:rPr>
            </w:r>
            <w:r>
              <w:rPr>
                <w:rFonts w:ascii="Arial" w:hAnsi="Arial"/>
                <w:b/>
                <w:i w:val="0"/>
                <w:color w:val="FFFFFF"/>
                <w:sz w:val="16"/>
              </w:rPr>
              <w:t>Alcance principal</w:t>
            </w:r>
          </w:p>
        </w:tc>
      </w:tr>
      <w:tr>
        <w:trPr>
          <w:cantSplit/>
        </w:trPr>
        <w:tc>
          <w:tcPr>
            <w:tcW w:type="dxa" w:w="2232"/>
            <w:vAlign w:val="top"/>
          </w:tcPr>
          <w:p>
            <w:pPr>
              <w:spacing w:before="0" w:after="20" w:line="240" w:lineRule="auto"/>
            </w:pPr>
            <w:r>
              <w:rPr>
                <w:rFonts w:ascii="Arial" w:hAnsi="Arial"/>
                <w:sz w:val="16"/>
              </w:rPr>
            </w:r>
            <w:r>
              <w:rPr>
                <w:rFonts w:ascii="Arial" w:hAnsi="Arial"/>
                <w:b w:val="0"/>
                <w:i w:val="0"/>
                <w:sz w:val="16"/>
              </w:rPr>
              <w:t>00-environment</w:t>
            </w:r>
          </w:p>
        </w:tc>
        <w:tc>
          <w:tcPr>
            <w:tcW w:type="dxa" w:w="3672"/>
            <w:vAlign w:val="top"/>
          </w:tcPr>
          <w:p>
            <w:pPr>
              <w:spacing w:before="0" w:after="20" w:line="240" w:lineRule="auto"/>
            </w:pPr>
            <w:r>
              <w:rPr>
                <w:rFonts w:ascii="Arial" w:hAnsi="Arial"/>
                <w:sz w:val="16"/>
              </w:rPr>
            </w:r>
            <w:r>
              <w:rPr>
                <w:rFonts w:ascii="Arial" w:hAnsi="Arial"/>
                <w:b w:val="0"/>
                <w:i w:val="0"/>
                <w:sz w:val="16"/>
              </w:rPr>
              <w:t>PASS</w:t>
            </w:r>
          </w:p>
        </w:tc>
        <w:tc>
          <w:tcPr>
            <w:tcW w:type="dxa" w:w="3816"/>
            <w:vAlign w:val="top"/>
          </w:tcPr>
          <w:p>
            <w:pPr>
              <w:spacing w:before="0" w:after="20" w:line="240" w:lineRule="auto"/>
            </w:pPr>
            <w:r>
              <w:rPr>
                <w:rFonts w:ascii="Arial" w:hAnsi="Arial"/>
                <w:sz w:val="16"/>
              </w:rPr>
            </w:r>
            <w:r>
              <w:rPr>
                <w:rFonts w:ascii="Arial" w:hAnsi="Arial"/>
                <w:b w:val="0"/>
                <w:i w:val="0"/>
                <w:sz w:val="16"/>
              </w:rPr>
              <w:t>Versiones, herramientas, repositorios e imagen de entrada.</w:t>
            </w:r>
          </w:p>
        </w:tc>
      </w:tr>
      <w:tr>
        <w:trPr>
          <w:cantSplit/>
        </w:trPr>
        <w:tc>
          <w:tcPr>
            <w:tcW w:type="dxa" w:w="2232"/>
            <w:vAlign w:val="top"/>
            <w:shd w:fill="F3F6F9"/>
          </w:tcPr>
          <w:p>
            <w:pPr>
              <w:spacing w:before="0" w:after="20" w:line="240" w:lineRule="auto"/>
            </w:pPr>
            <w:r>
              <w:rPr>
                <w:rFonts w:ascii="Arial" w:hAnsi="Arial"/>
                <w:sz w:val="16"/>
              </w:rPr>
            </w:r>
            <w:r>
              <w:rPr>
                <w:rFonts w:ascii="Arial" w:hAnsi="Arial"/>
                <w:b w:val="0"/>
                <w:i w:val="0"/>
                <w:sz w:val="16"/>
              </w:rPr>
              <w:t>10-dataspace-ca-tests</w:t>
            </w:r>
          </w:p>
        </w:tc>
        <w:tc>
          <w:tcPr>
            <w:tcW w:type="dxa" w:w="3672"/>
            <w:vAlign w:val="top"/>
            <w:shd w:fill="F3F6F9"/>
          </w:tcPr>
          <w:p>
            <w:pPr>
              <w:spacing w:before="0" w:after="20" w:line="240" w:lineRule="auto"/>
            </w:pPr>
            <w:r>
              <w:rPr>
                <w:rFonts w:ascii="Arial" w:hAnsi="Arial"/>
                <w:sz w:val="16"/>
              </w:rPr>
            </w:r>
            <w:r>
              <w:rPr>
                <w:rFonts w:ascii="Arial" w:hAnsi="Arial"/>
                <w:b w:val="0"/>
                <w:i w:val="0"/>
                <w:sz w:val="16"/>
              </w:rPr>
              <w:t>PASS</w:t>
            </w:r>
          </w:p>
        </w:tc>
        <w:tc>
          <w:tcPr>
            <w:tcW w:type="dxa" w:w="3816"/>
            <w:vAlign w:val="top"/>
            <w:shd w:fill="F3F6F9"/>
          </w:tcPr>
          <w:p>
            <w:pPr>
              <w:spacing w:before="0" w:after="20" w:line="240" w:lineRule="auto"/>
            </w:pPr>
            <w:r>
              <w:rPr>
                <w:rFonts w:ascii="Arial" w:hAnsi="Arial"/>
                <w:sz w:val="16"/>
              </w:rPr>
            </w:r>
            <w:r>
              <w:rPr>
                <w:rFonts w:ascii="Arial" w:hAnsi="Arial"/>
                <w:b w:val="0"/>
                <w:i w:val="0"/>
                <w:sz w:val="16"/>
              </w:rPr>
              <w:t>Pruebas de CA, publicación y custodia de clave privada.</w:t>
            </w:r>
          </w:p>
        </w:tc>
      </w:tr>
      <w:tr>
        <w:trPr>
          <w:cantSplit/>
        </w:trPr>
        <w:tc>
          <w:tcPr>
            <w:tcW w:type="dxa" w:w="2232"/>
            <w:vAlign w:val="top"/>
          </w:tcPr>
          <w:p>
            <w:pPr>
              <w:spacing w:before="0" w:after="20" w:line="240" w:lineRule="auto"/>
            </w:pPr>
            <w:r>
              <w:rPr>
                <w:rFonts w:ascii="Arial" w:hAnsi="Arial"/>
                <w:sz w:val="16"/>
              </w:rPr>
            </w:r>
            <w:r>
              <w:rPr>
                <w:rFonts w:ascii="Arial" w:hAnsi="Arial"/>
                <w:b w:val="0"/>
                <w:i w:val="0"/>
                <w:sz w:val="16"/>
              </w:rPr>
              <w:t>11-dataspace-ca-publication</w:t>
            </w:r>
          </w:p>
        </w:tc>
        <w:tc>
          <w:tcPr>
            <w:tcW w:type="dxa" w:w="3672"/>
            <w:vAlign w:val="top"/>
          </w:tcPr>
          <w:p>
            <w:pPr>
              <w:spacing w:before="0" w:after="20" w:line="240" w:lineRule="auto"/>
            </w:pPr>
            <w:r>
              <w:rPr>
                <w:rFonts w:ascii="Arial" w:hAnsi="Arial"/>
                <w:sz w:val="16"/>
              </w:rPr>
            </w:r>
            <w:r>
              <w:rPr>
                <w:rFonts w:ascii="Arial" w:hAnsi="Arial"/>
                <w:b w:val="0"/>
                <w:i w:val="0"/>
                <w:sz w:val="16"/>
              </w:rPr>
              <w:t>PASS</w:t>
            </w:r>
          </w:p>
        </w:tc>
        <w:tc>
          <w:tcPr>
            <w:tcW w:type="dxa" w:w="3816"/>
            <w:vAlign w:val="top"/>
          </w:tcPr>
          <w:p>
            <w:pPr>
              <w:spacing w:before="0" w:after="20" w:line="240" w:lineRule="auto"/>
            </w:pPr>
            <w:r>
              <w:rPr>
                <w:rFonts w:ascii="Arial" w:hAnsi="Arial"/>
                <w:sz w:val="16"/>
              </w:rPr>
            </w:r>
            <w:r>
              <w:rPr>
                <w:rFonts w:ascii="Arial" w:hAnsi="Arial"/>
                <w:b w:val="0"/>
                <w:i w:val="0"/>
                <w:sz w:val="16"/>
              </w:rPr>
              <w:t>DID, JWKS, certificados y metadatos públicos.</w:t>
            </w:r>
          </w:p>
        </w:tc>
      </w:tr>
      <w:tr>
        <w:trPr>
          <w:cantSplit/>
        </w:trPr>
        <w:tc>
          <w:tcPr>
            <w:tcW w:type="dxa" w:w="2232"/>
            <w:vAlign w:val="top"/>
            <w:shd w:fill="F3F6F9"/>
          </w:tcPr>
          <w:p>
            <w:pPr>
              <w:spacing w:before="0" w:after="20" w:line="240" w:lineRule="auto"/>
            </w:pPr>
            <w:r>
              <w:rPr>
                <w:rFonts w:ascii="Arial" w:hAnsi="Arial"/>
                <w:sz w:val="16"/>
              </w:rPr>
            </w:r>
            <w:r>
              <w:rPr>
                <w:rFonts w:ascii="Arial" w:hAnsi="Arial"/>
                <w:b w:val="0"/>
                <w:i w:val="0"/>
                <w:sz w:val="16"/>
              </w:rPr>
              <w:t>20-dataspace-ica-host-activation</w:t>
            </w:r>
          </w:p>
        </w:tc>
        <w:tc>
          <w:tcPr>
            <w:tcW w:type="dxa" w:w="3672"/>
            <w:vAlign w:val="top"/>
            <w:shd w:fill="F3F6F9"/>
          </w:tcPr>
          <w:p>
            <w:pPr>
              <w:spacing w:before="0" w:after="20" w:line="240" w:lineRule="auto"/>
            </w:pPr>
            <w:r>
              <w:rPr>
                <w:rFonts w:ascii="Arial" w:hAnsi="Arial"/>
                <w:sz w:val="16"/>
              </w:rPr>
            </w:r>
            <w:r>
              <w:rPr>
                <w:rFonts w:ascii="Arial" w:hAnsi="Arial"/>
                <w:b w:val="0"/>
                <w:i w:val="0"/>
                <w:sz w:val="16"/>
              </w:rPr>
              <w:t>PASS</w:t>
            </w:r>
          </w:p>
        </w:tc>
        <w:tc>
          <w:tcPr>
            <w:tcW w:type="dxa" w:w="3816"/>
            <w:vAlign w:val="top"/>
            <w:shd w:fill="F3F6F9"/>
          </w:tcPr>
          <w:p>
            <w:pPr>
              <w:spacing w:before="0" w:after="20" w:line="240" w:lineRule="auto"/>
            </w:pPr>
            <w:r>
              <w:rPr>
                <w:rFonts w:ascii="Arial" w:hAnsi="Arial"/>
                <w:sz w:val="16"/>
              </w:rPr>
            </w:r>
            <w:r>
              <w:rPr>
                <w:rFonts w:ascii="Arial" w:hAnsi="Arial"/>
                <w:b w:val="0"/>
                <w:i w:val="0"/>
                <w:sz w:val="16"/>
              </w:rPr>
              <w:t>Verificación, preautorización y HostingServiceCredential.</w:t>
            </w:r>
          </w:p>
        </w:tc>
      </w:tr>
      <w:tr>
        <w:trPr>
          <w:cantSplit/>
        </w:trPr>
        <w:tc>
          <w:tcPr>
            <w:tcW w:type="dxa" w:w="2232"/>
            <w:vAlign w:val="top"/>
          </w:tcPr>
          <w:p>
            <w:pPr>
              <w:spacing w:before="0" w:after="20" w:line="240" w:lineRule="auto"/>
            </w:pPr>
            <w:r>
              <w:rPr>
                <w:rFonts w:ascii="Arial" w:hAnsi="Arial"/>
                <w:sz w:val="16"/>
              </w:rPr>
            </w:r>
            <w:r>
              <w:rPr>
                <w:rFonts w:ascii="Arial" w:hAnsi="Arial"/>
                <w:b w:val="0"/>
                <w:i w:val="0"/>
                <w:sz w:val="16"/>
              </w:rPr>
              <w:t>21-dataspace-ica-postgres-ipfs-migration</w:t>
            </w:r>
          </w:p>
        </w:tc>
        <w:tc>
          <w:tcPr>
            <w:tcW w:type="dxa" w:w="3672"/>
            <w:vAlign w:val="top"/>
          </w:tcPr>
          <w:p>
            <w:pPr>
              <w:spacing w:before="0" w:after="20" w:line="240" w:lineRule="auto"/>
            </w:pPr>
            <w:r>
              <w:rPr>
                <w:rFonts w:ascii="Arial" w:hAnsi="Arial"/>
                <w:sz w:val="16"/>
              </w:rPr>
            </w:r>
            <w:r>
              <w:rPr>
                <w:rFonts w:ascii="Arial" w:hAnsi="Arial"/>
                <w:b w:val="0"/>
                <w:i w:val="0"/>
                <w:sz w:val="16"/>
              </w:rPr>
              <w:t>PASS</w:t>
            </w:r>
          </w:p>
        </w:tc>
        <w:tc>
          <w:tcPr>
            <w:tcW w:type="dxa" w:w="3816"/>
            <w:vAlign w:val="top"/>
          </w:tcPr>
          <w:p>
            <w:pPr>
              <w:spacing w:before="0" w:after="20" w:line="240" w:lineRule="auto"/>
            </w:pPr>
            <w:r>
              <w:rPr>
                <w:rFonts w:ascii="Arial" w:hAnsi="Arial"/>
                <w:sz w:val="16"/>
              </w:rPr>
            </w:r>
            <w:r>
              <w:rPr>
                <w:rFonts w:ascii="Arial" w:hAnsi="Arial"/>
                <w:b w:val="0"/>
                <w:i w:val="0"/>
                <w:sz w:val="16"/>
              </w:rPr>
              <w:t>Cuatro colecciones, objetos de auditoría, CID y comparación de digests.</w:t>
            </w:r>
          </w:p>
        </w:tc>
      </w:tr>
      <w:tr>
        <w:trPr>
          <w:cantSplit/>
        </w:trPr>
        <w:tc>
          <w:tcPr>
            <w:tcW w:type="dxa" w:w="2232"/>
            <w:vAlign w:val="top"/>
            <w:shd w:fill="F3F6F9"/>
          </w:tcPr>
          <w:p>
            <w:pPr>
              <w:spacing w:before="0" w:after="20" w:line="240" w:lineRule="auto"/>
            </w:pPr>
            <w:r>
              <w:rPr>
                <w:rFonts w:ascii="Arial" w:hAnsi="Arial"/>
                <w:sz w:val="16"/>
              </w:rPr>
            </w:r>
            <w:r>
              <w:rPr>
                <w:rFonts w:ascii="Arial" w:hAnsi="Arial"/>
                <w:b w:val="0"/>
                <w:i w:val="0"/>
                <w:sz w:val="16"/>
              </w:rPr>
              <w:t>30-fabric-governance-contract</w:t>
            </w:r>
          </w:p>
        </w:tc>
        <w:tc>
          <w:tcPr>
            <w:tcW w:type="dxa" w:w="3672"/>
            <w:vAlign w:val="top"/>
            <w:shd w:fill="F3F6F9"/>
          </w:tcPr>
          <w:p>
            <w:pPr>
              <w:spacing w:before="0" w:after="20" w:line="240" w:lineRule="auto"/>
            </w:pPr>
            <w:r>
              <w:rPr>
                <w:rFonts w:ascii="Arial" w:hAnsi="Arial"/>
                <w:sz w:val="16"/>
              </w:rPr>
            </w:r>
            <w:r>
              <w:rPr>
                <w:rFonts w:ascii="Arial" w:hAnsi="Arial"/>
                <w:b w:val="0"/>
                <w:i w:val="0"/>
                <w:sz w:val="16"/>
              </w:rPr>
              <w:t>PASS</w:t>
            </w:r>
          </w:p>
        </w:tc>
        <w:tc>
          <w:tcPr>
            <w:tcW w:type="dxa" w:w="3816"/>
            <w:vAlign w:val="top"/>
            <w:shd w:fill="F3F6F9"/>
          </w:tcPr>
          <w:p>
            <w:pPr>
              <w:spacing w:before="0" w:after="20" w:line="240" w:lineRule="auto"/>
            </w:pPr>
            <w:r>
              <w:rPr>
                <w:rFonts w:ascii="Arial" w:hAnsi="Arial"/>
                <w:sz w:val="16"/>
              </w:rPr>
            </w:r>
            <w:r>
              <w:rPr>
                <w:rFonts w:ascii="Arial" w:hAnsi="Arial"/>
                <w:b w:val="0"/>
                <w:i w:val="0"/>
                <w:sz w:val="16"/>
              </w:rPr>
              <w:t>Decisión firmada, plan determinista, grants y reconciliación.</w:t>
            </w:r>
          </w:p>
        </w:tc>
      </w:tr>
      <w:tr>
        <w:trPr>
          <w:cantSplit/>
        </w:trPr>
        <w:tc>
          <w:tcPr>
            <w:tcW w:type="dxa" w:w="2232"/>
            <w:vAlign w:val="top"/>
          </w:tcPr>
          <w:p>
            <w:pPr>
              <w:spacing w:before="0" w:after="20" w:line="240" w:lineRule="auto"/>
            </w:pPr>
            <w:r>
              <w:rPr>
                <w:rFonts w:ascii="Arial" w:hAnsi="Arial"/>
                <w:sz w:val="16"/>
              </w:rPr>
            </w:r>
            <w:r>
              <w:rPr>
                <w:rFonts w:ascii="Arial" w:hAnsi="Arial"/>
                <w:b w:val="0"/>
                <w:i w:val="0"/>
                <w:sz w:val="16"/>
              </w:rPr>
              <w:t>31-fabric-multi-host-topology</w:t>
            </w:r>
          </w:p>
        </w:tc>
        <w:tc>
          <w:tcPr>
            <w:tcW w:type="dxa" w:w="3672"/>
            <w:vAlign w:val="top"/>
          </w:tcPr>
          <w:p>
            <w:pPr>
              <w:spacing w:before="0" w:after="20" w:line="240" w:lineRule="auto"/>
            </w:pPr>
            <w:r>
              <w:rPr>
                <w:rFonts w:ascii="Arial" w:hAnsi="Arial"/>
                <w:sz w:val="16"/>
              </w:rPr>
            </w:r>
            <w:r>
              <w:rPr>
                <w:rFonts w:ascii="Arial" w:hAnsi="Arial"/>
                <w:b w:val="0"/>
                <w:i w:val="0"/>
                <w:sz w:val="16"/>
              </w:rPr>
              <w:t>PASS</w:t>
            </w:r>
          </w:p>
        </w:tc>
        <w:tc>
          <w:tcPr>
            <w:tcW w:type="dxa" w:w="3816"/>
            <w:vAlign w:val="top"/>
          </w:tcPr>
          <w:p>
            <w:pPr>
              <w:spacing w:before="0" w:after="20" w:line="240" w:lineRule="auto"/>
            </w:pPr>
            <w:r>
              <w:rPr>
                <w:rFonts w:ascii="Arial" w:hAnsi="Arial"/>
                <w:sz w:val="16"/>
              </w:rPr>
            </w:r>
            <w:r>
              <w:rPr>
                <w:rFonts w:ascii="Arial" w:hAnsi="Arial"/>
                <w:b w:val="0"/>
                <w:i w:val="0"/>
                <w:sz w:val="16"/>
              </w:rPr>
              <w:t>Host1MSP, Host2MSP, canales, peers y lifecycle CCAAS.</w:t>
            </w:r>
          </w:p>
        </w:tc>
      </w:tr>
      <w:tr>
        <w:trPr>
          <w:cantSplit/>
        </w:trPr>
        <w:tc>
          <w:tcPr>
            <w:tcW w:type="dxa" w:w="2232"/>
            <w:vAlign w:val="top"/>
            <w:shd w:fill="F3F6F9"/>
          </w:tcPr>
          <w:p>
            <w:pPr>
              <w:spacing w:before="0" w:after="20" w:line="240" w:lineRule="auto"/>
            </w:pPr>
            <w:r>
              <w:rPr>
                <w:rFonts w:ascii="Arial" w:hAnsi="Arial"/>
                <w:sz w:val="16"/>
              </w:rPr>
            </w:r>
            <w:r>
              <w:rPr>
                <w:rFonts w:ascii="Arial" w:hAnsi="Arial"/>
                <w:b w:val="0"/>
                <w:i w:val="0"/>
                <w:sz w:val="16"/>
              </w:rPr>
              <w:t>35-human-channel-taxonomy</w:t>
            </w:r>
          </w:p>
        </w:tc>
        <w:tc>
          <w:tcPr>
            <w:tcW w:type="dxa" w:w="3672"/>
            <w:vAlign w:val="top"/>
            <w:shd w:fill="F3F6F9"/>
          </w:tcPr>
          <w:p>
            <w:pPr>
              <w:spacing w:before="0" w:after="20" w:line="240" w:lineRule="auto"/>
            </w:pPr>
            <w:r>
              <w:rPr>
                <w:rFonts w:ascii="Arial" w:hAnsi="Arial"/>
                <w:sz w:val="16"/>
              </w:rPr>
            </w:r>
            <w:r>
              <w:rPr>
                <w:rFonts w:ascii="Arial" w:hAnsi="Arial"/>
                <w:b w:val="0"/>
                <w:i w:val="0"/>
                <w:sz w:val="16"/>
              </w:rPr>
              <w:t>PASS</w:t>
            </w:r>
          </w:p>
        </w:tc>
        <w:tc>
          <w:tcPr>
            <w:tcW w:type="dxa" w:w="3816"/>
            <w:vAlign w:val="top"/>
            <w:shd w:fill="F3F6F9"/>
          </w:tcPr>
          <w:p>
            <w:pPr>
              <w:spacing w:before="0" w:after="20" w:line="240" w:lineRule="auto"/>
            </w:pPr>
            <w:r>
              <w:rPr>
                <w:rFonts w:ascii="Arial" w:hAnsi="Arial"/>
                <w:sz w:val="16"/>
              </w:rPr>
            </w:r>
            <w:r>
              <w:rPr>
                <w:rFonts w:ascii="Arial" w:hAnsi="Arial"/>
                <w:b w:val="0"/>
                <w:i w:val="0"/>
                <w:sz w:val="16"/>
              </w:rPr>
              <w:t>Derivación y separación de canales de identidad y datos.</w:t>
            </w:r>
          </w:p>
        </w:tc>
      </w:tr>
      <w:tr>
        <w:trPr>
          <w:cantSplit/>
        </w:trPr>
        <w:tc>
          <w:tcPr>
            <w:tcW w:type="dxa" w:w="2232"/>
            <w:vAlign w:val="top"/>
          </w:tcPr>
          <w:p>
            <w:pPr>
              <w:spacing w:before="0" w:after="20" w:line="240" w:lineRule="auto"/>
            </w:pPr>
            <w:r>
              <w:rPr>
                <w:rFonts w:ascii="Arial" w:hAnsi="Arial"/>
                <w:sz w:val="16"/>
              </w:rPr>
            </w:r>
            <w:r>
              <w:rPr>
                <w:rFonts w:ascii="Arial" w:hAnsi="Arial"/>
                <w:b w:val="0"/>
                <w:i w:val="0"/>
                <w:sz w:val="16"/>
              </w:rPr>
              <w:t>36-employee-onboarding-contract</w:t>
            </w:r>
          </w:p>
        </w:tc>
        <w:tc>
          <w:tcPr>
            <w:tcW w:type="dxa" w:w="3672"/>
            <w:vAlign w:val="top"/>
          </w:tcPr>
          <w:p>
            <w:pPr>
              <w:spacing w:before="0" w:after="20" w:line="240" w:lineRule="auto"/>
            </w:pPr>
            <w:r>
              <w:rPr>
                <w:rFonts w:ascii="Arial" w:hAnsi="Arial"/>
                <w:sz w:val="16"/>
              </w:rPr>
            </w:r>
            <w:r>
              <w:rPr>
                <w:rFonts w:ascii="Arial" w:hAnsi="Arial"/>
                <w:b w:val="0"/>
                <w:i w:val="0"/>
                <w:sz w:val="16"/>
              </w:rPr>
              <w:t>PASS</w:t>
            </w:r>
          </w:p>
        </w:tc>
        <w:tc>
          <w:tcPr>
            <w:tcW w:type="dxa" w:w="3816"/>
            <w:vAlign w:val="top"/>
          </w:tcPr>
          <w:p>
            <w:pPr>
              <w:spacing w:before="0" w:after="20" w:line="240" w:lineRule="auto"/>
            </w:pPr>
            <w:r>
              <w:rPr>
                <w:rFonts w:ascii="Arial" w:hAnsi="Arial"/>
                <w:sz w:val="16"/>
              </w:rPr>
            </w:r>
            <w:r>
              <w:rPr>
                <w:rFonts w:ascii="Arial" w:hAnsi="Arial"/>
                <w:b w:val="0"/>
                <w:i w:val="0"/>
                <w:sz w:val="16"/>
              </w:rPr>
              <w:t>Alta de empleado y registro BYOK del dispositivo.</w:t>
            </w:r>
          </w:p>
        </w:tc>
      </w:tr>
      <w:tr>
        <w:trPr>
          <w:cantSplit/>
        </w:trPr>
        <w:tc>
          <w:tcPr>
            <w:tcW w:type="dxa" w:w="2232"/>
            <w:vAlign w:val="top"/>
            <w:shd w:fill="F3F6F9"/>
          </w:tcPr>
          <w:p>
            <w:pPr>
              <w:spacing w:before="0" w:after="20" w:line="240" w:lineRule="auto"/>
            </w:pPr>
            <w:r>
              <w:rPr>
                <w:rFonts w:ascii="Arial" w:hAnsi="Arial"/>
                <w:sz w:val="16"/>
              </w:rPr>
            </w:r>
            <w:r>
              <w:rPr>
                <w:rFonts w:ascii="Arial" w:hAnsi="Arial"/>
                <w:b w:val="0"/>
                <w:i w:val="0"/>
                <w:sz w:val="16"/>
              </w:rPr>
              <w:t>40-gw-postgres-ipfs-fabric-runtime</w:t>
            </w:r>
          </w:p>
        </w:tc>
        <w:tc>
          <w:tcPr>
            <w:tcW w:type="dxa" w:w="3672"/>
            <w:vAlign w:val="top"/>
            <w:shd w:fill="F3F6F9"/>
          </w:tcPr>
          <w:p>
            <w:pPr>
              <w:spacing w:before="0" w:after="20" w:line="240" w:lineRule="auto"/>
            </w:pPr>
            <w:r>
              <w:rPr>
                <w:rFonts w:ascii="Arial" w:hAnsi="Arial"/>
                <w:sz w:val="16"/>
              </w:rPr>
            </w:r>
            <w:r>
              <w:rPr>
                <w:rFonts w:ascii="Arial" w:hAnsi="Arial"/>
                <w:b w:val="0"/>
                <w:i w:val="0"/>
                <w:sz w:val="16"/>
              </w:rPr>
              <w:t>PASS</w:t>
            </w:r>
          </w:p>
        </w:tc>
        <w:tc>
          <w:tcPr>
            <w:tcW w:type="dxa" w:w="3816"/>
            <w:vAlign w:val="top"/>
            <w:shd w:fill="F3F6F9"/>
          </w:tcPr>
          <w:p>
            <w:pPr>
              <w:spacing w:before="0" w:after="20" w:line="240" w:lineRule="auto"/>
            </w:pPr>
            <w:r>
              <w:rPr>
                <w:rFonts w:ascii="Arial" w:hAnsi="Arial"/>
                <w:sz w:val="16"/>
              </w:rPr>
            </w:r>
            <w:r>
              <w:rPr>
                <w:rFonts w:ascii="Arial" w:hAnsi="Arial"/>
                <w:b w:val="0"/>
                <w:i w:val="0"/>
                <w:sz w:val="16"/>
              </w:rPr>
              <w:t>GW CORE, escritura/lectura Fabric, PostgreSQL, IPFS, Consent y SMART.</w:t>
            </w:r>
          </w:p>
        </w:tc>
      </w:tr>
      <w:tr>
        <w:trPr>
          <w:cantSplit/>
        </w:trPr>
        <w:tc>
          <w:tcPr>
            <w:tcW w:type="dxa" w:w="2232"/>
            <w:vAlign w:val="top"/>
          </w:tcPr>
          <w:p>
            <w:pPr>
              <w:spacing w:before="0" w:after="20" w:line="240" w:lineRule="auto"/>
            </w:pPr>
            <w:r>
              <w:rPr>
                <w:rFonts w:ascii="Arial" w:hAnsi="Arial"/>
                <w:sz w:val="16"/>
              </w:rPr>
            </w:r>
            <w:r>
              <w:rPr>
                <w:rFonts w:ascii="Arial" w:hAnsi="Arial"/>
                <w:b w:val="0"/>
                <w:i w:val="0"/>
                <w:sz w:val="16"/>
              </w:rPr>
              <w:t>45-helm-kubernetes-runtime</w:t>
            </w:r>
          </w:p>
        </w:tc>
        <w:tc>
          <w:tcPr>
            <w:tcW w:type="dxa" w:w="3672"/>
            <w:vAlign w:val="top"/>
          </w:tcPr>
          <w:p>
            <w:pPr>
              <w:spacing w:before="0" w:after="20" w:line="240" w:lineRule="auto"/>
            </w:pPr>
            <w:r>
              <w:rPr>
                <w:rFonts w:ascii="Arial" w:hAnsi="Arial"/>
                <w:sz w:val="16"/>
              </w:rPr>
            </w:r>
            <w:r>
              <w:rPr>
                <w:rFonts w:ascii="Arial" w:hAnsi="Arial"/>
                <w:b w:val="0"/>
                <w:i w:val="0"/>
                <w:sz w:val="16"/>
              </w:rPr>
              <w:t>PASS</w:t>
            </w:r>
          </w:p>
        </w:tc>
        <w:tc>
          <w:tcPr>
            <w:tcW w:type="dxa" w:w="3816"/>
            <w:vAlign w:val="top"/>
          </w:tcPr>
          <w:p>
            <w:pPr>
              <w:spacing w:before="0" w:after="20" w:line="240" w:lineRule="auto"/>
            </w:pPr>
            <w:r>
              <w:rPr>
                <w:rFonts w:ascii="Arial" w:hAnsi="Arial"/>
                <w:sz w:val="16"/>
              </w:rPr>
            </w:r>
            <w:r>
              <w:rPr>
                <w:rFonts w:ascii="Arial" w:hAnsi="Arial"/>
                <w:b w:val="0"/>
                <w:i w:val="0"/>
                <w:sz w:val="16"/>
              </w:rPr>
              <w:t>Instalación real en kind, peer Host2MSP, CouchDB, GW y diez CCAAS.</w:t>
            </w:r>
          </w:p>
        </w:tc>
      </w:tr>
      <w:tr>
        <w:trPr>
          <w:cantSplit/>
        </w:trPr>
        <w:tc>
          <w:tcPr>
            <w:tcW w:type="dxa" w:w="2232"/>
            <w:vAlign w:val="top"/>
            <w:shd w:fill="F3F6F9"/>
          </w:tcPr>
          <w:p>
            <w:pPr>
              <w:spacing w:before="0" w:after="20" w:line="240" w:lineRule="auto"/>
            </w:pPr>
            <w:r>
              <w:rPr>
                <w:rFonts w:ascii="Arial" w:hAnsi="Arial"/>
                <w:sz w:val="16"/>
              </w:rPr>
            </w:r>
            <w:r>
              <w:rPr>
                <w:rFonts w:ascii="Arial" w:hAnsi="Arial"/>
                <w:b w:val="0"/>
                <w:i w:val="0"/>
                <w:sz w:val="16"/>
              </w:rPr>
              <w:t>50-evidence-summary</w:t>
            </w:r>
          </w:p>
        </w:tc>
        <w:tc>
          <w:tcPr>
            <w:tcW w:type="dxa" w:w="3672"/>
            <w:vAlign w:val="top"/>
            <w:shd w:fill="F3F6F9"/>
          </w:tcPr>
          <w:p>
            <w:pPr>
              <w:spacing w:before="0" w:after="20" w:line="240" w:lineRule="auto"/>
            </w:pPr>
            <w:r>
              <w:rPr>
                <w:rFonts w:ascii="Arial" w:hAnsi="Arial"/>
                <w:sz w:val="16"/>
              </w:rPr>
            </w:r>
            <w:r>
              <w:rPr>
                <w:rFonts w:ascii="Arial" w:hAnsi="Arial"/>
                <w:b w:val="0"/>
                <w:i w:val="0"/>
                <w:sz w:val="16"/>
              </w:rPr>
              <w:t>PASS</w:t>
            </w:r>
          </w:p>
        </w:tc>
        <w:tc>
          <w:tcPr>
            <w:tcW w:type="dxa" w:w="3816"/>
            <w:vAlign w:val="top"/>
            <w:shd w:fill="F3F6F9"/>
          </w:tcPr>
          <w:p>
            <w:pPr>
              <w:spacing w:before="0" w:after="20" w:line="240" w:lineRule="auto"/>
            </w:pPr>
            <w:r>
              <w:rPr>
                <w:rFonts w:ascii="Arial" w:hAnsi="Arial"/>
                <w:sz w:val="16"/>
              </w:rPr>
            </w:r>
            <w:r>
              <w:rPr>
                <w:rFonts w:ascii="Arial" w:hAnsi="Arial"/>
                <w:b w:val="0"/>
                <w:i w:val="0"/>
                <w:sz w:val="16"/>
              </w:rPr>
              <w:t>Resumen y manifiesto con hashes.</w:t>
            </w:r>
          </w:p>
        </w:tc>
      </w:tr>
      <w:tr>
        <w:trPr>
          <w:cantSplit/>
        </w:trPr>
        <w:tc>
          <w:tcPr>
            <w:tcW w:type="dxa" w:w="2232"/>
            <w:vAlign w:val="top"/>
          </w:tcPr>
          <w:p>
            <w:pPr>
              <w:spacing w:before="0" w:after="20" w:line="240" w:lineRule="auto"/>
            </w:pPr>
            <w:r>
              <w:rPr>
                <w:rFonts w:ascii="Arial" w:hAnsi="Arial"/>
                <w:sz w:val="16"/>
              </w:rPr>
            </w:r>
            <w:r>
              <w:rPr>
                <w:rFonts w:ascii="Arial" w:hAnsi="Arial"/>
                <w:b w:val="0"/>
                <w:i w:val="0"/>
                <w:sz w:val="16"/>
              </w:rPr>
              <w:t>60-public-secret-scan</w:t>
            </w:r>
          </w:p>
        </w:tc>
        <w:tc>
          <w:tcPr>
            <w:tcW w:type="dxa" w:w="3672"/>
            <w:vAlign w:val="top"/>
          </w:tcPr>
          <w:p>
            <w:pPr>
              <w:spacing w:before="0" w:after="20" w:line="240" w:lineRule="auto"/>
            </w:pPr>
            <w:r>
              <w:rPr>
                <w:rFonts w:ascii="Arial" w:hAnsi="Arial"/>
                <w:sz w:val="16"/>
              </w:rPr>
            </w:r>
            <w:r>
              <w:rPr>
                <w:rFonts w:ascii="Arial" w:hAnsi="Arial"/>
                <w:b w:val="0"/>
                <w:i w:val="0"/>
                <w:sz w:val="16"/>
              </w:rPr>
              <w:t>PASS</w:t>
            </w:r>
          </w:p>
        </w:tc>
        <w:tc>
          <w:tcPr>
            <w:tcW w:type="dxa" w:w="3816"/>
            <w:vAlign w:val="top"/>
          </w:tcPr>
          <w:p>
            <w:pPr>
              <w:spacing w:before="0" w:after="20" w:line="240" w:lineRule="auto"/>
            </w:pPr>
            <w:r>
              <w:rPr>
                <w:rFonts w:ascii="Arial" w:hAnsi="Arial"/>
                <w:sz w:val="16"/>
              </w:rPr>
            </w:r>
            <w:r>
              <w:rPr>
                <w:rFonts w:ascii="Arial" w:hAnsi="Arial"/>
                <w:b w:val="0"/>
                <w:i w:val="0"/>
                <w:sz w:val="16"/>
              </w:rPr>
              <w:t>Control de publicación sin secretos.</w:t>
            </w:r>
          </w:p>
        </w:tc>
      </w:tr>
    </w:tbl>
    <w:p>
      <w:pPr>
        <w:spacing w:after="20"/>
      </w:pPr>
    </w:p>
    <w:p>
      <w:pPr>
        <w:spacing w:before="60" w:after="100" w:line="252" w:lineRule="auto"/>
        <w:shd w:fill="FFF6DF"/>
      </w:pPr>
      <w:r>
        <w:rPr>
          <w:rFonts w:ascii="Arial" w:hAnsi="Arial"/>
          <w:b w:val="0"/>
          <w:i w:val="0"/>
          <w:sz w:val="19"/>
        </w:rPr>
        <w:br/>
        <w:t xml:space="preserve">    El texto </w:t>
      </w:r>
      <w:r>
        <w:rPr>
          <w:rFonts w:ascii="Menlo" w:hAnsi="Menlo"/>
          <w:b w:val="0"/>
          <w:i w:val="0"/>
          <w:color w:val="23374B"/>
          <w:sz w:val="17"/>
        </w:rPr>
        <w:t>FAIL deliberate-failure</w:t>
      </w:r>
      <w:r>
        <w:rPr>
          <w:rFonts w:ascii="Arial" w:hAnsi="Arial"/>
          <w:b w:val="0"/>
          <w:i w:val="0"/>
          <w:sz w:val="19"/>
        </w:rPr>
        <w:t xml:space="preserve"> que aparece dentro del log de gobernanza corresponde a una prueba negativa intencionada del comportamiento fail-closed. No es un fallo de la ejecución: el caso automatizado y la puerta </w:t>
      </w:r>
      <w:r>
        <w:rPr>
          <w:rFonts w:ascii="Menlo" w:hAnsi="Menlo"/>
          <w:b w:val="0"/>
          <w:i w:val="0"/>
          <w:color w:val="23374B"/>
          <w:sz w:val="17"/>
        </w:rPr>
        <w:t>30-fabric-governance-contract</w:t>
      </w:r>
      <w:r>
        <w:rPr>
          <w:rFonts w:ascii="Arial" w:hAnsi="Arial"/>
          <w:b w:val="0"/>
          <w:i w:val="0"/>
          <w:sz w:val="19"/>
        </w:rPr>
        <w:t xml:space="preserve"> terminan en PASS.</w:t>
        <w:br/>
        <w:t xml:space="preserve">  </w:t>
      </w:r>
    </w:p>
    <w:p>
      <w:pPr>
        <w:pStyle w:val="Heading1"/>
        <w:spacing w:before="160" w:after="60" w:line="252" w:lineRule="auto"/>
      </w:pPr>
      <w:r>
        <w:rPr>
          <w:rFonts w:ascii="Arial" w:hAnsi="Arial"/>
          <w:b w:val="0"/>
          <w:i w:val="0"/>
          <w:sz w:val="19"/>
        </w:rPr>
        <w:t>6. Cobertura incluida en la ejecución</w:t>
      </w:r>
    </w:p>
    <w:p>
      <w:pPr>
        <w:spacing w:before="0" w:after="80" w:line="252" w:lineRule="auto"/>
      </w:pPr>
      <w:r>
        <w:rPr>
          <w:rFonts w:ascii="Arial" w:hAnsi="Arial"/>
          <w:b w:val="0"/>
          <w:i w:val="0"/>
          <w:sz w:val="19"/>
        </w:rPr>
        <w:t>La ejecución conserva el informe de cobertura de la suite instrumentada de smart contracts ejecutada dentro de la puerta Fabric:</w:t>
      </w:r>
    </w:p>
    <w:tbl>
      <w:tblPr>
        <w:tblStyle w:val="TableGrid"/>
        <w:tblW w:type="auto" w:w="0"/>
        <w:jc w:val="center"/>
        <w:tblLayout w:type="autofit"/>
        <w:tblLook w:firstColumn="1" w:firstRow="1" w:lastColumn="0" w:lastRow="0" w:noHBand="0" w:noVBand="1" w:val="04A0"/>
      </w:tblPr>
      <w:tblGrid>
        <w:gridCol w:w="5156"/>
        <w:gridCol w:w="5156"/>
      </w:tblGrid>
      <w:tr>
        <w:trPr>
          <w:cantSplit/>
          <w:tblHeader w:val="true"/>
        </w:trPr>
        <w:tc>
          <w:tcPr>
            <w:tcW w:type="dxa" w:w="2520"/>
            <w:vAlign w:val="top"/>
            <w:shd w:fill="123B66"/>
          </w:tcPr>
          <w:p>
            <w:pPr>
              <w:spacing w:before="0" w:after="20" w:line="240" w:lineRule="auto"/>
            </w:pPr>
            <w:r>
              <w:rPr>
                <w:rFonts w:ascii="Arial" w:hAnsi="Arial"/>
                <w:b/>
                <w:color w:val="FFFFFF"/>
                <w:sz w:val="16"/>
              </w:rPr>
            </w:r>
            <w:r>
              <w:rPr>
                <w:rFonts w:ascii="Arial" w:hAnsi="Arial"/>
                <w:b/>
                <w:i w:val="0"/>
                <w:color w:val="FFFFFF"/>
                <w:sz w:val="16"/>
              </w:rPr>
              <w:t>Métrica</w:t>
            </w:r>
          </w:p>
        </w:tc>
        <w:tc>
          <w:tcPr>
            <w:tcW w:type="dxa" w:w="7200"/>
            <w:vAlign w:val="top"/>
            <w:shd w:fill="123B66"/>
          </w:tcPr>
          <w:p>
            <w:pPr>
              <w:spacing w:before="0" w:after="20" w:line="240" w:lineRule="auto"/>
            </w:pPr>
            <w:r>
              <w:rPr>
                <w:rFonts w:ascii="Arial" w:hAnsi="Arial"/>
                <w:b/>
                <w:color w:val="FFFFFF"/>
                <w:sz w:val="16"/>
              </w:rPr>
            </w:r>
            <w:r>
              <w:rPr>
                <w:rFonts w:ascii="Arial" w:hAnsi="Arial"/>
                <w:b/>
                <w:i w:val="0"/>
                <w:color w:val="FFFFFF"/>
                <w:sz w:val="16"/>
              </w:rPr>
              <w:t>Resultado</w:t>
            </w:r>
          </w:p>
        </w:tc>
      </w:tr>
      <w:tr>
        <w:trPr>
          <w:cantSplit/>
        </w:trPr>
        <w:tc>
          <w:tcPr>
            <w:tcW w:type="dxa" w:w="2520"/>
            <w:vAlign w:val="top"/>
          </w:tcPr>
          <w:p>
            <w:pPr>
              <w:spacing w:before="0" w:after="20" w:line="240" w:lineRule="auto"/>
            </w:pPr>
            <w:r>
              <w:rPr>
                <w:rFonts w:ascii="Arial" w:hAnsi="Arial"/>
                <w:sz w:val="16"/>
              </w:rPr>
            </w:r>
            <w:r>
              <w:rPr>
                <w:rFonts w:ascii="Arial" w:hAnsi="Arial"/>
                <w:b w:val="0"/>
                <w:i w:val="0"/>
                <w:sz w:val="16"/>
              </w:rPr>
              <w:t>Sentencias</w:t>
            </w:r>
          </w:p>
        </w:tc>
        <w:tc>
          <w:tcPr>
            <w:tcW w:type="dxa" w:w="7200"/>
            <w:vAlign w:val="top"/>
          </w:tcPr>
          <w:p>
            <w:pPr>
              <w:spacing w:before="0" w:after="20" w:line="240" w:lineRule="auto"/>
            </w:pPr>
            <w:r>
              <w:rPr>
                <w:rFonts w:ascii="Arial" w:hAnsi="Arial"/>
                <w:sz w:val="16"/>
              </w:rPr>
            </w:r>
            <w:r>
              <w:rPr>
                <w:rFonts w:ascii="Arial" w:hAnsi="Arial"/>
                <w:b w:val="0"/>
                <w:i w:val="0"/>
                <w:sz w:val="16"/>
              </w:rPr>
              <w:t>100 % (153/153)</w:t>
            </w:r>
          </w:p>
        </w:tc>
      </w:tr>
      <w:tr>
        <w:trPr>
          <w:cantSplit/>
        </w:trPr>
        <w:tc>
          <w:tcPr>
            <w:tcW w:type="dxa" w:w="2520"/>
            <w:vAlign w:val="top"/>
            <w:shd w:fill="F3F6F9"/>
          </w:tcPr>
          <w:p>
            <w:pPr>
              <w:spacing w:before="0" w:after="20" w:line="240" w:lineRule="auto"/>
            </w:pPr>
            <w:r>
              <w:rPr>
                <w:rFonts w:ascii="Arial" w:hAnsi="Arial"/>
                <w:sz w:val="16"/>
              </w:rPr>
            </w:r>
            <w:r>
              <w:rPr>
                <w:rFonts w:ascii="Arial" w:hAnsi="Arial"/>
                <w:b w:val="0"/>
                <w:i w:val="0"/>
                <w:sz w:val="16"/>
              </w:rPr>
              <w:t>Ramas</w:t>
            </w:r>
          </w:p>
        </w:tc>
        <w:tc>
          <w:tcPr>
            <w:tcW w:type="dxa" w:w="7200"/>
            <w:vAlign w:val="top"/>
            <w:shd w:fill="F3F6F9"/>
          </w:tcPr>
          <w:p>
            <w:pPr>
              <w:spacing w:before="0" w:after="20" w:line="240" w:lineRule="auto"/>
            </w:pPr>
            <w:r>
              <w:rPr>
                <w:rFonts w:ascii="Arial" w:hAnsi="Arial"/>
                <w:sz w:val="16"/>
              </w:rPr>
            </w:r>
            <w:r>
              <w:rPr>
                <w:rFonts w:ascii="Arial" w:hAnsi="Arial"/>
                <w:b w:val="0"/>
                <w:i w:val="0"/>
                <w:sz w:val="16"/>
              </w:rPr>
              <w:t>100 % (106/106)</w:t>
            </w:r>
          </w:p>
        </w:tc>
      </w:tr>
      <w:tr>
        <w:trPr>
          <w:cantSplit/>
        </w:trPr>
        <w:tc>
          <w:tcPr>
            <w:tcW w:type="dxa" w:w="2520"/>
            <w:vAlign w:val="top"/>
          </w:tcPr>
          <w:p>
            <w:pPr>
              <w:spacing w:before="0" w:after="20" w:line="240" w:lineRule="auto"/>
            </w:pPr>
            <w:r>
              <w:rPr>
                <w:rFonts w:ascii="Arial" w:hAnsi="Arial"/>
                <w:sz w:val="16"/>
              </w:rPr>
            </w:r>
            <w:r>
              <w:rPr>
                <w:rFonts w:ascii="Arial" w:hAnsi="Arial"/>
                <w:b w:val="0"/>
                <w:i w:val="0"/>
                <w:sz w:val="16"/>
              </w:rPr>
              <w:t>Funciones</w:t>
            </w:r>
          </w:p>
        </w:tc>
        <w:tc>
          <w:tcPr>
            <w:tcW w:type="dxa" w:w="7200"/>
            <w:vAlign w:val="top"/>
          </w:tcPr>
          <w:p>
            <w:pPr>
              <w:spacing w:before="0" w:after="20" w:line="240" w:lineRule="auto"/>
            </w:pPr>
            <w:r>
              <w:rPr>
                <w:rFonts w:ascii="Arial" w:hAnsi="Arial"/>
                <w:sz w:val="16"/>
              </w:rPr>
            </w:r>
            <w:r>
              <w:rPr>
                <w:rFonts w:ascii="Arial" w:hAnsi="Arial"/>
                <w:b w:val="0"/>
                <w:i w:val="0"/>
                <w:sz w:val="16"/>
              </w:rPr>
              <w:t>100 % (33/33)</w:t>
            </w:r>
          </w:p>
        </w:tc>
      </w:tr>
      <w:tr>
        <w:trPr>
          <w:cantSplit/>
        </w:trPr>
        <w:tc>
          <w:tcPr>
            <w:tcW w:type="dxa" w:w="2520"/>
            <w:vAlign w:val="top"/>
            <w:shd w:fill="F3F6F9"/>
          </w:tcPr>
          <w:p>
            <w:pPr>
              <w:spacing w:before="0" w:after="20" w:line="240" w:lineRule="auto"/>
            </w:pPr>
            <w:r>
              <w:rPr>
                <w:rFonts w:ascii="Arial" w:hAnsi="Arial"/>
                <w:sz w:val="16"/>
              </w:rPr>
            </w:r>
            <w:r>
              <w:rPr>
                <w:rFonts w:ascii="Arial" w:hAnsi="Arial"/>
                <w:b w:val="0"/>
                <w:i w:val="0"/>
                <w:sz w:val="16"/>
              </w:rPr>
              <w:t>Líneas</w:t>
            </w:r>
          </w:p>
        </w:tc>
        <w:tc>
          <w:tcPr>
            <w:tcW w:type="dxa" w:w="7200"/>
            <w:vAlign w:val="top"/>
            <w:shd w:fill="F3F6F9"/>
          </w:tcPr>
          <w:p>
            <w:pPr>
              <w:spacing w:before="0" w:after="20" w:line="240" w:lineRule="auto"/>
            </w:pPr>
            <w:r>
              <w:rPr>
                <w:rFonts w:ascii="Arial" w:hAnsi="Arial"/>
                <w:sz w:val="16"/>
              </w:rPr>
            </w:r>
            <w:r>
              <w:rPr>
                <w:rFonts w:ascii="Arial" w:hAnsi="Arial"/>
                <w:b w:val="0"/>
                <w:i w:val="0"/>
                <w:sz w:val="16"/>
              </w:rPr>
              <w:t>100 % (148/148)</w:t>
            </w:r>
          </w:p>
        </w:tc>
      </w:tr>
    </w:tbl>
    <w:p>
      <w:pPr>
        <w:spacing w:after="20"/>
      </w:pPr>
    </w:p>
    <w:p>
      <w:pPr>
        <w:spacing w:before="0" w:after="80" w:line="252" w:lineRule="auto"/>
      </w:pPr>
      <w:r>
        <w:rPr>
          <w:rFonts w:ascii="Arial" w:hAnsi="Arial"/>
          <w:b w:val="0"/>
          <w:i w:val="0"/>
          <w:sz w:val="19"/>
        </w:rPr>
        <w:t xml:space="preserve">Los diez CCAAS quedan acreditados por su instalación, aprobación, despliegue y comprobación operativa en Fabric. Las cifras anteriores pertenecen a la suite instrumentada que produce el informe de cobertura; no representan una cobertura agregada de los diez CCAAS ni del paquete independiente </w:t>
      </w:r>
      <w:r>
        <w:rPr>
          <w:rFonts w:ascii="Menlo" w:hAnsi="Menlo"/>
          <w:b w:val="0"/>
          <w:i w:val="0"/>
          <w:color w:val="23374B"/>
          <w:sz w:val="17"/>
        </w:rPr>
        <w:t>gdc-common-utils-ts</w:t>
      </w:r>
      <w:r>
        <w:rPr>
          <w:rFonts w:ascii="Arial" w:hAnsi="Arial"/>
          <w:b w:val="0"/>
          <w:i w:val="0"/>
          <w:sz w:val="19"/>
        </w:rPr>
        <w:t>.</w:t>
      </w:r>
    </w:p>
    <w:p>
      <w:pPr>
        <w:pStyle w:val="Heading1"/>
        <w:spacing w:before="160" w:after="60" w:line="252" w:lineRule="auto"/>
      </w:pPr>
      <w:r>
        <w:rPr>
          <w:rFonts w:ascii="Arial" w:hAnsi="Arial"/>
          <w:b w:val="0"/>
          <w:i w:val="0"/>
          <w:sz w:val="19"/>
        </w:rPr>
        <w:t>7. Evidencia funcional y de persistencia</w:t>
      </w:r>
    </w:p>
    <w:p>
      <w:pPr>
        <w:pStyle w:val="ListBullet"/>
        <w:spacing w:before="0" w:after="40" w:line="252" w:lineRule="auto"/>
      </w:pPr>
      <w:r>
        <w:rPr>
          <w:rFonts w:ascii="Arial" w:hAnsi="Arial"/>
          <w:b w:val="0"/>
          <w:i w:val="0"/>
          <w:sz w:val="19"/>
        </w:rPr>
        <w:t xml:space="preserve">Fabric se inicia con </w:t>
      </w:r>
      <w:r>
        <w:rPr>
          <w:rFonts w:ascii="Menlo" w:hAnsi="Menlo"/>
          <w:b w:val="0"/>
          <w:i w:val="0"/>
          <w:color w:val="23374B"/>
          <w:sz w:val="17"/>
        </w:rPr>
        <w:t>Host1MSP</w:t>
      </w:r>
      <w:r>
        <w:rPr>
          <w:rFonts w:ascii="Arial" w:hAnsi="Arial"/>
          <w:b w:val="0"/>
          <w:i w:val="0"/>
          <w:sz w:val="19"/>
        </w:rPr>
        <w:t xml:space="preserve"> y admite de forma gobernada a </w:t>
      </w:r>
      <w:r>
        <w:rPr>
          <w:rFonts w:ascii="Menlo" w:hAnsi="Menlo"/>
          <w:b w:val="0"/>
          <w:i w:val="0"/>
          <w:color w:val="23374B"/>
          <w:sz w:val="17"/>
        </w:rPr>
        <w:t>Host2MSP</w:t>
      </w:r>
      <w:r>
        <w:rPr>
          <w:rFonts w:ascii="Arial" w:hAnsi="Arial"/>
          <w:b w:val="0"/>
          <w:i w:val="0"/>
          <w:sz w:val="19"/>
        </w:rPr>
        <w:t>.</w:t>
      </w:r>
    </w:p>
    <w:p>
      <w:pPr>
        <w:pStyle w:val="ListBullet"/>
        <w:spacing w:before="0" w:after="40" w:line="252" w:lineRule="auto"/>
      </w:pPr>
      <w:r>
        <w:rPr>
          <w:rFonts w:ascii="Arial" w:hAnsi="Arial"/>
          <w:b w:val="0"/>
          <w:i w:val="0"/>
          <w:sz w:val="19"/>
        </w:rPr>
        <w:t xml:space="preserve">Los peers participan en </w:t>
      </w:r>
      <w:r>
        <w:rPr>
          <w:rFonts w:ascii="Menlo" w:hAnsi="Menlo"/>
          <w:b w:val="0"/>
          <w:i w:val="0"/>
          <w:color w:val="23374B"/>
          <w:sz w:val="17"/>
        </w:rPr>
        <w:t>identity-local</w:t>
      </w:r>
      <w:r>
        <w:rPr>
          <w:rFonts w:ascii="Arial" w:hAnsi="Arial"/>
          <w:b w:val="0"/>
          <w:i w:val="0"/>
          <w:sz w:val="19"/>
        </w:rPr>
        <w:t xml:space="preserve"> y </w:t>
      </w:r>
      <w:r>
        <w:rPr>
          <w:rFonts w:ascii="Menlo" w:hAnsi="Menlo"/>
          <w:b w:val="0"/>
          <w:i w:val="0"/>
          <w:color w:val="23374B"/>
          <w:sz w:val="17"/>
        </w:rPr>
        <w:t>health-care-local</w:t>
      </w:r>
      <w:r>
        <w:rPr>
          <w:rFonts w:ascii="Arial" w:hAnsi="Arial"/>
          <w:b w:val="0"/>
          <w:i w:val="0"/>
          <w:sz w:val="19"/>
        </w:rPr>
        <w:t>.</w:t>
      </w:r>
    </w:p>
    <w:p>
      <w:pPr>
        <w:pStyle w:val="ListBullet"/>
        <w:spacing w:before="0" w:after="40" w:line="252" w:lineRule="auto"/>
      </w:pPr>
      <w:r>
        <w:rPr>
          <w:rFonts w:ascii="Arial" w:hAnsi="Arial"/>
          <w:b w:val="0"/>
          <w:i w:val="0"/>
          <w:sz w:val="19"/>
        </w:rPr>
        <w:t xml:space="preserve">Se verifican diez chaincodes: </w:t>
      </w:r>
      <w:r>
        <w:rPr>
          <w:rFonts w:ascii="Menlo" w:hAnsi="Menlo"/>
          <w:b w:val="0"/>
          <w:i w:val="0"/>
          <w:color w:val="23374B"/>
          <w:sz w:val="17"/>
        </w:rPr>
        <w:t>organization-sc</w:t>
      </w:r>
      <w:r>
        <w:rPr>
          <w:rFonts w:ascii="Arial" w:hAnsi="Arial"/>
          <w:b w:val="0"/>
          <w:i w:val="0"/>
          <w:sz w:val="19"/>
        </w:rPr>
        <w:t xml:space="preserve">, </w:t>
      </w:r>
      <w:r>
        <w:rPr>
          <w:rFonts w:ascii="Menlo" w:hAnsi="Menlo"/>
          <w:b w:val="0"/>
          <w:i w:val="0"/>
          <w:color w:val="23374B"/>
          <w:sz w:val="17"/>
        </w:rPr>
        <w:t>cryptographickey-sc</w:t>
      </w:r>
      <w:r>
        <w:rPr>
          <w:rFonts w:ascii="Arial" w:hAnsi="Arial"/>
          <w:b w:val="0"/>
          <w:i w:val="0"/>
          <w:sz w:val="19"/>
        </w:rPr>
        <w:t xml:space="preserve">, </w:t>
      </w:r>
      <w:r>
        <w:rPr>
          <w:rFonts w:ascii="Menlo" w:hAnsi="Menlo"/>
          <w:b w:val="0"/>
          <w:i w:val="0"/>
          <w:color w:val="23374B"/>
          <w:sz w:val="17"/>
        </w:rPr>
        <w:t>employee-sc</w:t>
      </w:r>
      <w:r>
        <w:rPr>
          <w:rFonts w:ascii="Arial" w:hAnsi="Arial"/>
          <w:b w:val="0"/>
          <w:i w:val="0"/>
          <w:sz w:val="19"/>
        </w:rPr>
        <w:t xml:space="preserve">, </w:t>
      </w:r>
      <w:r>
        <w:rPr>
          <w:rFonts w:ascii="Menlo" w:hAnsi="Menlo"/>
          <w:b w:val="0"/>
          <w:i w:val="0"/>
          <w:color w:val="23374B"/>
          <w:sz w:val="17"/>
        </w:rPr>
        <w:t>evidence-sc</w:t>
      </w:r>
      <w:r>
        <w:rPr>
          <w:rFonts w:ascii="Arial" w:hAnsi="Arial"/>
          <w:b w:val="0"/>
          <w:i w:val="0"/>
          <w:sz w:val="19"/>
        </w:rPr>
        <w:t xml:space="preserve">, </w:t>
      </w:r>
      <w:r>
        <w:rPr>
          <w:rFonts w:ascii="Menlo" w:hAnsi="Menlo"/>
          <w:b w:val="0"/>
          <w:i w:val="0"/>
          <w:color w:val="23374B"/>
          <w:sz w:val="17"/>
        </w:rPr>
        <w:t>credential-sc</w:t>
      </w:r>
      <w:r>
        <w:rPr>
          <w:rFonts w:ascii="Arial" w:hAnsi="Arial"/>
          <w:b w:val="0"/>
          <w:i w:val="0"/>
          <w:sz w:val="19"/>
        </w:rPr>
        <w:t xml:space="preserve">, </w:t>
      </w:r>
      <w:r>
        <w:rPr>
          <w:rFonts w:ascii="Menlo" w:hAnsi="Menlo"/>
          <w:b w:val="0"/>
          <w:i w:val="0"/>
          <w:color w:val="23374B"/>
          <w:sz w:val="17"/>
        </w:rPr>
        <w:t>artifact-sc</w:t>
      </w:r>
      <w:r>
        <w:rPr>
          <w:rFonts w:ascii="Arial" w:hAnsi="Arial"/>
          <w:b w:val="0"/>
          <w:i w:val="0"/>
          <w:sz w:val="19"/>
        </w:rPr>
        <w:t xml:space="preserve">, </w:t>
      </w:r>
      <w:r>
        <w:rPr>
          <w:rFonts w:ascii="Menlo" w:hAnsi="Menlo"/>
          <w:b w:val="0"/>
          <w:i w:val="0"/>
          <w:color w:val="23374B"/>
          <w:sz w:val="17"/>
        </w:rPr>
        <w:t>artifactevent-sc</w:t>
      </w:r>
      <w:r>
        <w:rPr>
          <w:rFonts w:ascii="Arial" w:hAnsi="Arial"/>
          <w:b w:val="0"/>
          <w:i w:val="0"/>
          <w:sz w:val="19"/>
        </w:rPr>
        <w:t xml:space="preserve">, </w:t>
      </w:r>
      <w:r>
        <w:rPr>
          <w:rFonts w:ascii="Menlo" w:hAnsi="Menlo"/>
          <w:b w:val="0"/>
          <w:i w:val="0"/>
          <w:color w:val="23374B"/>
          <w:sz w:val="17"/>
        </w:rPr>
        <w:t>subjectkeybinding-sc</w:t>
      </w:r>
      <w:r>
        <w:rPr>
          <w:rFonts w:ascii="Arial" w:hAnsi="Arial"/>
          <w:b w:val="0"/>
          <w:i w:val="0"/>
          <w:sz w:val="19"/>
        </w:rPr>
        <w:t xml:space="preserve">, </w:t>
      </w:r>
      <w:r>
        <w:rPr>
          <w:rFonts w:ascii="Menlo" w:hAnsi="Menlo"/>
          <w:b w:val="0"/>
          <w:i w:val="0"/>
          <w:color w:val="23374B"/>
          <w:sz w:val="17"/>
        </w:rPr>
        <w:t>subjectidentifier-sc</w:t>
      </w:r>
      <w:r>
        <w:rPr>
          <w:rFonts w:ascii="Arial" w:hAnsi="Arial"/>
          <w:b w:val="0"/>
          <w:i w:val="0"/>
          <w:sz w:val="19"/>
        </w:rPr>
        <w:t xml:space="preserve"> y </w:t>
      </w:r>
      <w:r>
        <w:rPr>
          <w:rFonts w:ascii="Menlo" w:hAnsi="Menlo"/>
          <w:b w:val="0"/>
          <w:i w:val="0"/>
          <w:color w:val="23374B"/>
          <w:sz w:val="17"/>
        </w:rPr>
        <w:t>consentaccess-sc</w:t>
      </w:r>
      <w:r>
        <w:rPr>
          <w:rFonts w:ascii="Arial" w:hAnsi="Arial"/>
          <w:b w:val="0"/>
          <w:i w:val="0"/>
          <w:sz w:val="19"/>
        </w:rPr>
        <w:t>.</w:t>
      </w:r>
    </w:p>
    <w:p>
      <w:pPr>
        <w:pStyle w:val="ListBullet"/>
        <w:spacing w:before="0" w:after="40" w:line="252" w:lineRule="auto"/>
      </w:pPr>
      <w:r>
        <w:rPr>
          <w:rFonts w:ascii="Arial" w:hAnsi="Arial"/>
          <w:b w:val="0"/>
          <w:i w:val="0"/>
          <w:sz w:val="19"/>
        </w:rPr>
        <w:t xml:space="preserve">GW CORE produce una transacción de aplicación con ID </w:t>
      </w:r>
      <w:r>
        <w:rPr>
          <w:rFonts w:ascii="Menlo" w:hAnsi="Menlo"/>
          <w:b w:val="0"/>
          <w:i w:val="0"/>
          <w:color w:val="23374B"/>
          <w:sz w:val="17"/>
        </w:rPr>
        <w:t>af8b677153321840aee4cfc2106f60e992140a034025d0c621deefd240ff8e8d</w:t>
      </w:r>
      <w:r>
        <w:rPr>
          <w:rFonts w:ascii="Arial" w:hAnsi="Arial"/>
          <w:b w:val="0"/>
          <w:i w:val="0"/>
          <w:sz w:val="19"/>
        </w:rPr>
        <w:t xml:space="preserve"> y lectura posterior.</w:t>
      </w:r>
    </w:p>
    <w:p>
      <w:pPr>
        <w:pStyle w:val="ListBullet"/>
        <w:spacing w:before="0" w:after="40" w:line="252" w:lineRule="auto"/>
      </w:pPr>
      <w:r>
        <w:rPr>
          <w:rFonts w:ascii="Arial" w:hAnsi="Arial"/>
          <w:b w:val="0"/>
          <w:i w:val="0"/>
          <w:sz w:val="19"/>
        </w:rPr>
        <w:t xml:space="preserve">La ejecución Helm conserva transacciones Fabric confirmadas con estado </w:t>
      </w:r>
      <w:r>
        <w:rPr>
          <w:rFonts w:ascii="Menlo" w:hAnsi="Menlo"/>
          <w:b w:val="0"/>
          <w:i w:val="0"/>
          <w:color w:val="23374B"/>
          <w:sz w:val="17"/>
        </w:rPr>
        <w:t>VALID</w:t>
      </w:r>
      <w:r>
        <w:rPr>
          <w:rFonts w:ascii="Arial" w:hAnsi="Arial"/>
          <w:b w:val="0"/>
          <w:i w:val="0"/>
          <w:sz w:val="19"/>
        </w:rPr>
        <w:t xml:space="preserve"> y una transacción GW con ID </w:t>
      </w:r>
      <w:r>
        <w:rPr>
          <w:rFonts w:ascii="Menlo" w:hAnsi="Menlo"/>
          <w:b w:val="0"/>
          <w:i w:val="0"/>
          <w:color w:val="23374B"/>
          <w:sz w:val="17"/>
        </w:rPr>
        <w:t>e9a4979a47d4839de8a1ad1f45459902422ed8d3e042cefa446e63606d7b2270</w:t>
      </w:r>
      <w:r>
        <w:rPr>
          <w:rFonts w:ascii="Arial" w:hAnsi="Arial"/>
          <w:b w:val="0"/>
          <w:i w:val="0"/>
          <w:sz w:val="19"/>
        </w:rPr>
        <w:t>.</w:t>
      </w:r>
    </w:p>
    <w:p>
      <w:pPr>
        <w:pStyle w:val="ListBullet"/>
        <w:spacing w:before="0" w:after="40" w:line="252" w:lineRule="auto"/>
      </w:pPr>
      <w:r>
        <w:rPr>
          <w:rFonts w:ascii="Arial" w:hAnsi="Arial"/>
          <w:b w:val="0"/>
          <w:i w:val="0"/>
          <w:sz w:val="19"/>
        </w:rPr>
        <w:t>La prueba final registra 55 documentos PostgreSQL, 15 blobs JWE en IPFS y recuperación correcta después de reiniciar GW, peer y CCAAS.</w:t>
      </w:r>
    </w:p>
    <w:p>
      <w:pPr>
        <w:pStyle w:val="ListBullet"/>
        <w:spacing w:before="0" w:after="40" w:line="252" w:lineRule="auto"/>
      </w:pPr>
      <w:r>
        <w:rPr>
          <w:rFonts w:ascii="Arial" w:hAnsi="Arial"/>
          <w:b w:val="0"/>
          <w:i w:val="0"/>
          <w:sz w:val="19"/>
        </w:rPr>
        <w:t>El control positivo permite una lectura IPS mediante SMART al empleado autorizado; el control negativo deniega el token al empleado sin consentimiento.</w:t>
      </w:r>
    </w:p>
    <w:p>
      <w:pPr>
        <w:pStyle w:val="Heading2"/>
        <w:spacing w:before="120" w:after="40" w:line="252" w:lineRule="auto"/>
      </w:pPr>
      <w:r>
        <w:rPr>
          <w:rFonts w:ascii="Arial" w:hAnsi="Arial"/>
          <w:b w:val="0"/>
          <w:i w:val="0"/>
          <w:sz w:val="19"/>
        </w:rPr>
        <w:t>Identificador de contenido comprobado</w:t>
      </w:r>
    </w:p>
    <w:p>
      <w:pPr>
        <w:spacing w:before="0" w:after="80" w:line="252" w:lineRule="auto"/>
      </w:pPr>
      <w:r>
        <w:rPr>
          <w:rFonts w:ascii="Arial" w:hAnsi="Arial"/>
          <w:b w:val="0"/>
          <w:i w:val="0"/>
          <w:sz w:val="19"/>
        </w:rPr>
        <w:t>La migración guarda y recupera el objeto sintético mediante el CID:</w:t>
      </w:r>
    </w:p>
    <w:p>
      <w:pPr>
        <w:spacing w:before="0" w:after="80" w:line="252" w:lineRule="auto"/>
      </w:pPr>
      <w:r>
        <w:rPr>
          <w:rFonts w:ascii="Menlo" w:hAnsi="Menlo"/>
          <w:b w:val="0"/>
          <w:i w:val="0"/>
          <w:color w:val="23374B"/>
          <w:sz w:val="17"/>
        </w:rPr>
        <w:t>bafkreihtkeofbn4tof2lhi7rupghujysfkzodwkkn6bhw3v7svm2y3tzn4</w:t>
      </w:r>
    </w:p>
    <w:p>
      <w:pPr>
        <w:spacing w:before="0" w:after="80" w:line="252" w:lineRule="auto"/>
      </w:pPr>
      <w:r>
        <w:rPr>
          <w:rFonts w:ascii="Arial" w:hAnsi="Arial"/>
          <w:b w:val="0"/>
          <w:i w:val="0"/>
          <w:sz w:val="19"/>
        </w:rPr>
        <w:t xml:space="preserve">El objeto es un PDF sintético de 48 bytes. Su SHA-256 es </w:t>
      </w:r>
      <w:r>
        <w:rPr>
          <w:rFonts w:ascii="Menlo" w:hAnsi="Menlo"/>
          <w:b w:val="0"/>
          <w:i w:val="0"/>
          <w:color w:val="23374B"/>
          <w:sz w:val="17"/>
        </w:rPr>
        <w:t>f3511c50b7937174b3a3f1a3cc7a27122ab2e1d94a6f827b6ebf9559ac6e796f</w:t>
      </w:r>
      <w:r>
        <w:rPr>
          <w:rFonts w:ascii="Arial" w:hAnsi="Arial"/>
          <w:b w:val="0"/>
          <w:i w:val="0"/>
          <w:sz w:val="19"/>
        </w:rPr>
        <w:t>. Los digests de origen transformado y destino coinciden y no quedan referencias GCS sin resolver.</w:t>
      </w:r>
    </w:p>
    <w:p>
      <w:pPr>
        <w:pStyle w:val="Heading1"/>
        <w:spacing w:before="160" w:after="60" w:line="252" w:lineRule="auto"/>
      </w:pPr>
      <w:r>
        <w:rPr>
          <w:rFonts w:ascii="Arial" w:hAnsi="Arial"/>
          <w:b w:val="0"/>
          <w:i w:val="0"/>
          <w:sz w:val="19"/>
        </w:rPr>
        <w:t>8. Explorador, pasarela pública y subgrafo</w:t>
      </w:r>
    </w:p>
    <w:p>
      <w:pPr>
        <w:spacing w:before="0" w:after="80" w:line="252" w:lineRule="auto"/>
      </w:pPr>
      <w:r>
        <w:rPr>
          <w:rFonts w:ascii="Arial" w:hAnsi="Arial"/>
          <w:b w:val="0"/>
          <w:i w:val="0"/>
          <w:sz w:val="19"/>
        </w:rPr>
        <w:t xml:space="preserve">El paquete local-network contiene transacciones, confirmaciones </w:t>
      </w:r>
      <w:r>
        <w:rPr>
          <w:rFonts w:ascii="Menlo" w:hAnsi="Menlo"/>
          <w:b w:val="0"/>
          <w:i w:val="0"/>
          <w:color w:val="23374B"/>
          <w:sz w:val="17"/>
        </w:rPr>
        <w:t>VALID</w:t>
      </w:r>
      <w:r>
        <w:rPr>
          <w:rFonts w:ascii="Arial" w:hAnsi="Arial"/>
          <w:b w:val="0"/>
          <w:i w:val="0"/>
          <w:sz w:val="19"/>
        </w:rPr>
        <w:t>, identificadores de transacción y lecturas autoritativas. Esto constituye evidencia del ledger, aunque no es una captura de una interfaz gráfica de explorador.</w:t>
      </w:r>
    </w:p>
    <w:tbl>
      <w:tblPr>
        <w:tblStyle w:val="TableGrid"/>
        <w:tblW w:type="auto" w:w="0"/>
        <w:jc w:val="center"/>
        <w:tblLayout w:type="autofit"/>
        <w:tblLook w:firstColumn="1" w:firstRow="1" w:lastColumn="0" w:lastRow="0" w:noHBand="0" w:noVBand="1" w:val="04A0"/>
      </w:tblPr>
      <w:tblGrid>
        <w:gridCol w:w="3437"/>
        <w:gridCol w:w="3437"/>
        <w:gridCol w:w="3437"/>
      </w:tblGrid>
      <w:tr>
        <w:trPr>
          <w:cantSplit/>
          <w:tblHeader w:val="true"/>
        </w:trPr>
        <w:tc>
          <w:tcPr>
            <w:tcW w:type="dxa" w:w="2232"/>
            <w:vAlign w:val="top"/>
            <w:shd w:fill="123B66"/>
          </w:tcPr>
          <w:p>
            <w:pPr>
              <w:spacing w:before="0" w:after="20" w:line="240" w:lineRule="auto"/>
            </w:pPr>
            <w:r>
              <w:rPr>
                <w:rFonts w:ascii="Arial" w:hAnsi="Arial"/>
                <w:b/>
                <w:color w:val="FFFFFF"/>
                <w:sz w:val="16"/>
              </w:rPr>
            </w:r>
            <w:r>
              <w:rPr>
                <w:rFonts w:ascii="Arial" w:hAnsi="Arial"/>
                <w:b/>
                <w:i w:val="0"/>
                <w:color w:val="FFFFFF"/>
                <w:sz w:val="16"/>
              </w:rPr>
              <w:t>Solicitud</w:t>
            </w:r>
          </w:p>
        </w:tc>
        <w:tc>
          <w:tcPr>
            <w:tcW w:type="dxa" w:w="3672"/>
            <w:vAlign w:val="top"/>
            <w:shd w:fill="123B66"/>
          </w:tcPr>
          <w:p>
            <w:pPr>
              <w:spacing w:before="0" w:after="20" w:line="240" w:lineRule="auto"/>
            </w:pPr>
            <w:r>
              <w:rPr>
                <w:rFonts w:ascii="Arial" w:hAnsi="Arial"/>
                <w:b/>
                <w:color w:val="FFFFFF"/>
                <w:sz w:val="16"/>
              </w:rPr>
            </w:r>
            <w:r>
              <w:rPr>
                <w:rFonts w:ascii="Arial" w:hAnsi="Arial"/>
                <w:b/>
                <w:i w:val="0"/>
                <w:color w:val="FFFFFF"/>
                <w:sz w:val="16"/>
              </w:rPr>
              <w:t>Evidencia disponible en esta ejecución</w:t>
            </w:r>
          </w:p>
        </w:tc>
        <w:tc>
          <w:tcPr>
            <w:tcW w:type="dxa" w:w="3816"/>
            <w:vAlign w:val="top"/>
            <w:shd w:fill="123B66"/>
          </w:tcPr>
          <w:p>
            <w:pPr>
              <w:spacing w:before="0" w:after="20" w:line="240" w:lineRule="auto"/>
            </w:pPr>
            <w:r>
              <w:rPr>
                <w:rFonts w:ascii="Arial" w:hAnsi="Arial"/>
                <w:b/>
                <w:color w:val="FFFFFF"/>
                <w:sz w:val="16"/>
              </w:rPr>
            </w:r>
            <w:r>
              <w:rPr>
                <w:rFonts w:ascii="Arial" w:hAnsi="Arial"/>
                <w:b/>
                <w:i w:val="0"/>
                <w:color w:val="FFFFFF"/>
                <w:sz w:val="16"/>
              </w:rPr>
              <w:t>Tratamiento recomendado</w:t>
            </w:r>
          </w:p>
        </w:tc>
      </w:tr>
      <w:tr>
        <w:trPr>
          <w:cantSplit/>
        </w:trPr>
        <w:tc>
          <w:tcPr>
            <w:tcW w:type="dxa" w:w="2232"/>
            <w:vAlign w:val="top"/>
          </w:tcPr>
          <w:p>
            <w:pPr>
              <w:spacing w:before="0" w:after="20" w:line="240" w:lineRule="auto"/>
            </w:pPr>
            <w:r>
              <w:rPr>
                <w:rFonts w:ascii="Arial" w:hAnsi="Arial"/>
                <w:sz w:val="16"/>
              </w:rPr>
            </w:r>
            <w:r>
              <w:rPr>
                <w:rFonts w:ascii="Arial" w:hAnsi="Arial"/>
                <w:b w:val="0"/>
                <w:i w:val="0"/>
                <w:sz w:val="16"/>
              </w:rPr>
              <w:t>Explorador de cadena para tres contratos</w:t>
            </w:r>
          </w:p>
        </w:tc>
        <w:tc>
          <w:tcPr>
            <w:tcW w:type="dxa" w:w="3672"/>
            <w:vAlign w:val="top"/>
          </w:tcPr>
          <w:p>
            <w:pPr>
              <w:spacing w:before="0" w:after="20" w:line="240" w:lineRule="auto"/>
            </w:pPr>
            <w:r>
              <w:rPr>
                <w:rFonts w:ascii="Arial" w:hAnsi="Arial"/>
                <w:sz w:val="16"/>
              </w:rPr>
            </w:r>
            <w:r>
              <w:rPr>
                <w:rFonts w:ascii="Arial" w:hAnsi="Arial"/>
                <w:b w:val="0"/>
                <w:i w:val="0"/>
                <w:sz w:val="16"/>
              </w:rPr>
              <w:t>Logs Fabric con txid, estado VALID, lifecycle y readback.</w:t>
            </w:r>
          </w:p>
        </w:tc>
        <w:tc>
          <w:tcPr>
            <w:tcW w:type="dxa" w:w="3816"/>
            <w:vAlign w:val="top"/>
          </w:tcPr>
          <w:p>
            <w:pPr>
              <w:spacing w:before="0" w:after="20" w:line="240" w:lineRule="auto"/>
            </w:pPr>
            <w:r>
              <w:rPr>
                <w:rFonts w:ascii="Arial" w:hAnsi="Arial"/>
                <w:sz w:val="16"/>
              </w:rPr>
            </w:r>
            <w:r>
              <w:rPr>
                <w:rFonts w:ascii="Arial" w:hAnsi="Arial"/>
                <w:b w:val="0"/>
                <w:i w:val="0"/>
                <w:sz w:val="16"/>
              </w:rPr>
              <w:t>Adjuntar una exportación/captura del explorador sólo si el evaluador exige específicamente la interfaz gráfica.</w:t>
            </w:r>
          </w:p>
        </w:tc>
      </w:tr>
      <w:tr>
        <w:trPr>
          <w:cantSplit/>
        </w:trPr>
        <w:tc>
          <w:tcPr>
            <w:tcW w:type="dxa" w:w="2232"/>
            <w:vAlign w:val="top"/>
            <w:shd w:fill="F3F6F9"/>
          </w:tcPr>
          <w:p>
            <w:pPr>
              <w:spacing w:before="0" w:after="20" w:line="240" w:lineRule="auto"/>
            </w:pPr>
            <w:r>
              <w:rPr>
                <w:rFonts w:ascii="Arial" w:hAnsi="Arial"/>
                <w:sz w:val="16"/>
              </w:rPr>
            </w:r>
            <w:r>
              <w:rPr>
                <w:rFonts w:ascii="Arial" w:hAnsi="Arial"/>
                <w:b w:val="0"/>
                <w:i w:val="0"/>
                <w:sz w:val="16"/>
              </w:rPr>
              <w:t>Pasarela pública por CID</w:t>
            </w:r>
          </w:p>
        </w:tc>
        <w:tc>
          <w:tcPr>
            <w:tcW w:type="dxa" w:w="3672"/>
            <w:vAlign w:val="top"/>
            <w:shd w:fill="F3F6F9"/>
          </w:tcPr>
          <w:p>
            <w:pPr>
              <w:spacing w:before="0" w:after="20" w:line="240" w:lineRule="auto"/>
            </w:pPr>
            <w:r>
              <w:rPr>
                <w:rFonts w:ascii="Arial" w:hAnsi="Arial"/>
                <w:sz w:val="16"/>
              </w:rPr>
            </w:r>
            <w:r>
              <w:rPr>
                <w:rFonts w:ascii="Arial" w:hAnsi="Arial"/>
                <w:b w:val="0"/>
                <w:i w:val="0"/>
                <w:sz w:val="16"/>
              </w:rPr>
              <w:t>CID y recuperación real en Kubo/IPFS local-network; además, CIDs JWE producidos por GW.</w:t>
            </w:r>
          </w:p>
        </w:tc>
        <w:tc>
          <w:tcPr>
            <w:tcW w:type="dxa" w:w="3816"/>
            <w:vAlign w:val="top"/>
            <w:shd w:fill="F3F6F9"/>
          </w:tcPr>
          <w:p>
            <w:pPr>
              <w:spacing w:before="0" w:after="20" w:line="240" w:lineRule="auto"/>
            </w:pPr>
            <w:r>
              <w:rPr>
                <w:rFonts w:ascii="Arial" w:hAnsi="Arial"/>
                <w:sz w:val="16"/>
              </w:rPr>
            </w:r>
            <w:r>
              <w:rPr>
                <w:rFonts w:ascii="Arial" w:hAnsi="Arial"/>
                <w:b w:val="0"/>
                <w:i w:val="0"/>
                <w:sz w:val="16"/>
              </w:rPr>
              <w:t>No describirlo como consulta a una pasarela pública desplegada sin ejecutar esa consulta en el entorno público exacto.</w:t>
            </w:r>
          </w:p>
        </w:tc>
      </w:tr>
      <w:tr>
        <w:trPr>
          <w:cantSplit/>
        </w:trPr>
        <w:tc>
          <w:tcPr>
            <w:tcW w:type="dxa" w:w="2232"/>
            <w:vAlign w:val="top"/>
          </w:tcPr>
          <w:p>
            <w:pPr>
              <w:spacing w:before="0" w:after="20" w:line="240" w:lineRule="auto"/>
            </w:pPr>
            <w:r>
              <w:rPr>
                <w:rFonts w:ascii="Arial" w:hAnsi="Arial"/>
                <w:sz w:val="16"/>
              </w:rPr>
            </w:r>
            <w:r>
              <w:rPr>
                <w:rFonts w:ascii="Arial" w:hAnsi="Arial"/>
                <w:b w:val="0"/>
                <w:i w:val="0"/>
                <w:sz w:val="16"/>
              </w:rPr>
              <w:t>Consulta al subgrafo</w:t>
            </w:r>
          </w:p>
        </w:tc>
        <w:tc>
          <w:tcPr>
            <w:tcW w:type="dxa" w:w="3672"/>
            <w:vAlign w:val="top"/>
          </w:tcPr>
          <w:p>
            <w:pPr>
              <w:spacing w:before="0" w:after="20" w:line="240" w:lineRule="auto"/>
            </w:pPr>
            <w:r>
              <w:rPr>
                <w:rFonts w:ascii="Arial" w:hAnsi="Arial"/>
                <w:sz w:val="16"/>
              </w:rPr>
            </w:r>
            <w:r>
              <w:rPr>
                <w:rFonts w:ascii="Arial" w:hAnsi="Arial"/>
                <w:b w:val="0"/>
                <w:i w:val="0"/>
                <w:sz w:val="16"/>
              </w:rPr>
              <w:t>No forma parte del runner GW CORE/Fabric.</w:t>
            </w:r>
          </w:p>
        </w:tc>
        <w:tc>
          <w:tcPr>
            <w:tcW w:type="dxa" w:w="3816"/>
            <w:vAlign w:val="top"/>
          </w:tcPr>
          <w:p>
            <w:pPr>
              <w:spacing w:before="0" w:after="20" w:line="240" w:lineRule="auto"/>
            </w:pPr>
            <w:r>
              <w:rPr>
                <w:rFonts w:ascii="Arial" w:hAnsi="Arial"/>
                <w:sz w:val="16"/>
              </w:rPr>
            </w:r>
            <w:r>
              <w:rPr>
                <w:rFonts w:ascii="Arial" w:hAnsi="Arial"/>
                <w:b w:val="0"/>
                <w:i w:val="0"/>
                <w:sz w:val="16"/>
              </w:rPr>
              <w:t>Adjuntar la salida desde el backend o componente propietario del subgrafo. No sustituirla por un diagrama Mermaid.</w:t>
            </w:r>
          </w:p>
        </w:tc>
      </w:tr>
    </w:tbl>
    <w:p>
      <w:pPr>
        <w:spacing w:after="20"/>
      </w:pPr>
    </w:p>
    <w:p>
      <w:pPr>
        <w:pStyle w:val="Heading1"/>
        <w:spacing w:before="160" w:after="60" w:line="252" w:lineRule="auto"/>
      </w:pPr>
      <w:r>
        <w:rPr>
          <w:rFonts w:ascii="Arial" w:hAnsi="Arial"/>
          <w:b w:val="0"/>
          <w:i w:val="0"/>
          <w:sz w:val="19"/>
        </w:rPr>
        <w:t>9. Aclaraciones técnicas</w:t>
      </w:r>
    </w:p>
    <w:p>
      <w:pPr>
        <w:pStyle w:val="Heading2"/>
        <w:spacing w:before="120" w:after="40" w:line="252" w:lineRule="auto"/>
      </w:pPr>
      <w:r>
        <w:rPr>
          <w:rFonts w:ascii="Arial" w:hAnsi="Arial"/>
          <w:b w:val="0"/>
          <w:i w:val="0"/>
          <w:sz w:val="19"/>
        </w:rPr>
        <w:t>9.1 Puertos de la ICA y de GW CORE</w:t>
      </w:r>
    </w:p>
    <w:p>
      <w:pPr>
        <w:spacing w:before="0" w:after="80" w:line="252" w:lineRule="auto"/>
      </w:pPr>
      <w:r>
        <w:rPr>
          <w:rFonts w:ascii="Arial" w:hAnsi="Arial"/>
          <w:b w:val="0"/>
          <w:i w:val="0"/>
          <w:sz w:val="19"/>
        </w:rPr>
        <w:t xml:space="preserve">El servicio ICA escucha en el puerto interno </w:t>
      </w:r>
      <w:r>
        <w:rPr>
          <w:rFonts w:ascii="Arial" w:hAnsi="Arial"/>
          <w:b/>
          <w:i w:val="0"/>
          <w:sz w:val="19"/>
        </w:rPr>
        <w:t>3310</w:t>
      </w:r>
      <w:r>
        <w:rPr>
          <w:rFonts w:ascii="Arial" w:hAnsi="Arial"/>
          <w:b w:val="0"/>
          <w:i w:val="0"/>
          <w:sz w:val="19"/>
        </w:rPr>
        <w:t xml:space="preserve">. GW CORE escucha en el puerto interno </w:t>
      </w:r>
      <w:r>
        <w:rPr>
          <w:rFonts w:ascii="Arial" w:hAnsi="Arial"/>
          <w:b/>
          <w:i w:val="0"/>
          <w:sz w:val="19"/>
        </w:rPr>
        <w:t>3000</w:t>
      </w:r>
      <w:r>
        <w:rPr>
          <w:rFonts w:ascii="Arial" w:hAnsi="Arial"/>
          <w:b w:val="0"/>
          <w:i w:val="0"/>
          <w:sz w:val="19"/>
        </w:rPr>
        <w:t xml:space="preserve">; durante esta ejecución local-network, Docker lo publica en el host mediante el puerto </w:t>
      </w:r>
      <w:r>
        <w:rPr>
          <w:rFonts w:ascii="Arial" w:hAnsi="Arial"/>
          <w:b/>
          <w:i w:val="0"/>
          <w:sz w:val="19"/>
        </w:rPr>
        <w:t>18081</w:t>
      </w:r>
      <w:r>
        <w:rPr>
          <w:rFonts w:ascii="Arial" w:hAnsi="Arial"/>
          <w:b w:val="0"/>
          <w:i w:val="0"/>
          <w:sz w:val="19"/>
        </w:rPr>
        <w:t xml:space="preserve">. Por tanto, </w:t>
      </w:r>
      <w:r>
        <w:rPr>
          <w:rFonts w:ascii="Arial" w:hAnsi="Arial"/>
          <w:b/>
          <w:i w:val="0"/>
          <w:sz w:val="19"/>
        </w:rPr>
        <w:t>3000 no es el puerto de la ICA</w:t>
      </w:r>
      <w:r>
        <w:rPr>
          <w:rFonts w:ascii="Arial" w:hAnsi="Arial"/>
          <w:b w:val="0"/>
          <w:i w:val="0"/>
          <w:sz w:val="19"/>
        </w:rPr>
        <w:t xml:space="preserve"> y </w:t>
      </w:r>
      <w:r>
        <w:rPr>
          <w:rFonts w:ascii="Arial" w:hAnsi="Arial"/>
          <w:b/>
          <w:i w:val="0"/>
          <w:sz w:val="19"/>
        </w:rPr>
        <w:t>18081 no es otro servicio</w:t>
      </w:r>
      <w:r>
        <w:rPr>
          <w:rFonts w:ascii="Arial" w:hAnsi="Arial"/>
          <w:b w:val="0"/>
          <w:i w:val="0"/>
          <w:sz w:val="19"/>
        </w:rPr>
        <w:t>, sino el puerto local de acceso al GW CORE utilizado por el runner.</w:t>
      </w:r>
    </w:p>
    <w:p>
      <w:pPr>
        <w:pStyle w:val="Heading2"/>
        <w:spacing w:before="120" w:after="40" w:line="252" w:lineRule="auto"/>
      </w:pPr>
      <w:r>
        <w:rPr>
          <w:rFonts w:ascii="Arial" w:hAnsi="Arial"/>
          <w:b w:val="0"/>
          <w:i w:val="0"/>
          <w:sz w:val="19"/>
        </w:rPr>
        <w:t>9.2 Salud de la imagen ICA</w:t>
      </w:r>
    </w:p>
    <w:p>
      <w:pPr>
        <w:spacing w:before="0" w:after="80" w:line="252" w:lineRule="auto"/>
      </w:pPr>
      <w:r>
        <w:rPr>
          <w:rFonts w:ascii="Arial" w:hAnsi="Arial"/>
          <w:b w:val="0"/>
          <w:i w:val="0"/>
          <w:sz w:val="19"/>
        </w:rPr>
        <w:t xml:space="preserve">El contrato de código y el manifiesto Kubernetes inspeccionados usan </w:t>
      </w:r>
      <w:r>
        <w:rPr>
          <w:rFonts w:ascii="Menlo" w:hAnsi="Menlo"/>
          <w:b w:val="0"/>
          <w:i w:val="0"/>
          <w:color w:val="23374B"/>
          <w:sz w:val="17"/>
        </w:rPr>
        <w:t>GET /</w:t>
      </w:r>
      <w:r>
        <w:rPr>
          <w:rFonts w:ascii="Arial" w:hAnsi="Arial"/>
          <w:b w:val="0"/>
          <w:i w:val="0"/>
          <w:sz w:val="19"/>
        </w:rPr>
        <w:t xml:space="preserve"> para liveness y readiness. La raíz devuelve </w:t>
      </w:r>
      <w:r>
        <w:rPr>
          <w:rFonts w:ascii="Menlo" w:hAnsi="Menlo"/>
          <w:b w:val="0"/>
          <w:i w:val="0"/>
          <w:color w:val="23374B"/>
          <w:sz w:val="17"/>
        </w:rPr>
        <w:t>status: ok</w:t>
      </w:r>
      <w:r>
        <w:rPr>
          <w:rFonts w:ascii="Arial" w:hAnsi="Arial"/>
          <w:b w:val="0"/>
          <w:i w:val="0"/>
          <w:sz w:val="19"/>
        </w:rPr>
        <w:t xml:space="preserve"> y enlaces de descubrimiento. No se debe afirmar el comportamiento de una imagen actualmente desplegada sin comprobar su digest y consultar esa imagen exacta.</w:t>
      </w:r>
    </w:p>
    <w:p>
      <w:pPr>
        <w:pStyle w:val="Heading2"/>
        <w:spacing w:before="120" w:after="40" w:line="252" w:lineRule="auto"/>
      </w:pPr>
      <w:r>
        <w:rPr>
          <w:rFonts w:ascii="Arial" w:hAnsi="Arial"/>
          <w:b w:val="0"/>
          <w:i w:val="0"/>
          <w:sz w:val="19"/>
        </w:rPr>
        <w:t>9.3 Funciones de GW CORE relevantes para SEDIA</w:t>
      </w:r>
    </w:p>
    <w:p>
      <w:pPr>
        <w:pStyle w:val="ListBullet"/>
        <w:spacing w:before="0" w:after="40" w:line="252" w:lineRule="auto"/>
      </w:pPr>
      <w:r>
        <w:rPr>
          <w:rFonts w:ascii="Arial" w:hAnsi="Arial"/>
          <w:b w:val="0"/>
          <w:i w:val="0"/>
          <w:sz w:val="19"/>
        </w:rPr>
        <w:t xml:space="preserve">descubrimiento técnico del host y de los tenants mediante DID, JWKS, DSP/DCAT y endpoints </w:t>
      </w:r>
      <w:r>
        <w:rPr>
          <w:rFonts w:ascii="Menlo" w:hAnsi="Menlo"/>
          <w:b w:val="0"/>
          <w:i w:val="0"/>
          <w:color w:val="23374B"/>
          <w:sz w:val="17"/>
        </w:rPr>
        <w:t>well-known</w:t>
      </w:r>
      <w:r>
        <w:rPr>
          <w:rFonts w:ascii="Arial" w:hAnsi="Arial"/>
          <w:b w:val="0"/>
          <w:i w:val="0"/>
          <w:sz w:val="19"/>
        </w:rPr>
        <w:t>;</w:t>
      </w:r>
    </w:p>
    <w:p>
      <w:pPr>
        <w:pStyle w:val="ListBullet"/>
        <w:spacing w:before="0" w:after="40" w:line="252" w:lineRule="auto"/>
      </w:pPr>
      <w:r>
        <w:rPr>
          <w:rFonts w:ascii="Arial" w:hAnsi="Arial"/>
          <w:b w:val="0"/>
          <w:i w:val="0"/>
          <w:sz w:val="19"/>
        </w:rPr>
        <w:t>nodo de participante autenticado con aislamiento por tenant;</w:t>
      </w:r>
    </w:p>
    <w:p>
      <w:pPr>
        <w:pStyle w:val="ListBullet"/>
        <w:spacing w:before="0" w:after="40" w:line="252" w:lineRule="auto"/>
      </w:pPr>
      <w:r>
        <w:rPr>
          <w:rFonts w:ascii="Arial" w:hAnsi="Arial"/>
          <w:b w:val="0"/>
          <w:i w:val="0"/>
          <w:sz w:val="19"/>
        </w:rPr>
        <w:t>persistencia claims-first cifrada y almacenamiento separado de metadatos y blobs;</w:t>
      </w:r>
    </w:p>
    <w:p>
      <w:pPr>
        <w:pStyle w:val="ListBullet"/>
        <w:spacing w:before="0" w:after="40" w:line="252" w:lineRule="auto"/>
      </w:pPr>
      <w:r>
        <w:rPr>
          <w:rFonts w:ascii="Arial" w:hAnsi="Arial"/>
          <w:b w:val="0"/>
          <w:i w:val="0"/>
          <w:sz w:val="19"/>
        </w:rPr>
        <w:t>alta de organizaciones, controllers, empleados, dispositivos y sujetos;</w:t>
      </w:r>
    </w:p>
    <w:p>
      <w:pPr>
        <w:pStyle w:val="ListBullet"/>
        <w:spacing w:before="0" w:after="40" w:line="252" w:lineRule="auto"/>
      </w:pPr>
      <w:r>
        <w:rPr>
          <w:rFonts w:ascii="Arial" w:hAnsi="Arial"/>
          <w:b w:val="0"/>
          <w:i w:val="0"/>
          <w:sz w:val="19"/>
        </w:rPr>
        <w:t>Consent y autorización SMART-on-FHIR;</w:t>
      </w:r>
    </w:p>
    <w:p>
      <w:pPr>
        <w:pStyle w:val="ListBullet"/>
        <w:spacing w:before="0" w:after="40" w:line="252" w:lineRule="auto"/>
      </w:pPr>
      <w:r>
        <w:rPr>
          <w:rFonts w:ascii="Arial" w:hAnsi="Arial"/>
          <w:b w:val="0"/>
          <w:i w:val="0"/>
          <w:sz w:val="19"/>
        </w:rPr>
        <w:t>ingesta clínica mediante Communication y reconstrucción de documentos/IPS;</w:t>
      </w:r>
    </w:p>
    <w:p>
      <w:pPr>
        <w:pStyle w:val="ListBullet"/>
        <w:spacing w:before="0" w:after="40" w:line="252" w:lineRule="auto"/>
      </w:pPr>
      <w:r>
        <w:rPr>
          <w:rFonts w:ascii="Arial" w:hAnsi="Arial"/>
          <w:b w:val="0"/>
          <w:i w:val="0"/>
          <w:sz w:val="19"/>
        </w:rPr>
        <w:t>búsqueda autorizada del índice de sujeto y de la proyección de investigación;</w:t>
      </w:r>
    </w:p>
    <w:p>
      <w:pPr>
        <w:pStyle w:val="ListBullet"/>
        <w:spacing w:before="0" w:after="40" w:line="252" w:lineRule="auto"/>
      </w:pPr>
      <w:r>
        <w:rPr>
          <w:rFonts w:ascii="Arial" w:hAnsi="Arial"/>
          <w:b w:val="0"/>
          <w:i w:val="0"/>
          <w:sz w:val="19"/>
        </w:rPr>
        <w:t>evidencia y trazabilidad mediante Hyperledger Fabric;</w:t>
      </w:r>
    </w:p>
    <w:p>
      <w:pPr>
        <w:pStyle w:val="ListBullet"/>
        <w:spacing w:before="0" w:after="40" w:line="252" w:lineRule="auto"/>
      </w:pPr>
      <w:r>
        <w:rPr>
          <w:rFonts w:ascii="Arial" w:hAnsi="Arial"/>
          <w:b w:val="0"/>
          <w:i w:val="0"/>
          <w:sz w:val="19"/>
        </w:rPr>
        <w:t>ejecución asíncrona submit/poll con lectura autoritativa final.</w:t>
      </w:r>
    </w:p>
    <w:p>
      <w:pPr>
        <w:pStyle w:val="Heading2"/>
        <w:spacing w:before="120" w:after="40" w:line="252" w:lineRule="auto"/>
      </w:pPr>
      <w:r>
        <w:rPr>
          <w:rFonts w:ascii="Arial" w:hAnsi="Arial"/>
          <w:b w:val="0"/>
          <w:i w:val="0"/>
          <w:sz w:val="19"/>
        </w:rPr>
        <w:t>9.4 Campo de reclamaciones clínicas</w:t>
      </w:r>
    </w:p>
    <w:p>
      <w:pPr>
        <w:spacing w:before="0" w:after="80" w:line="252" w:lineRule="auto"/>
      </w:pPr>
      <w:r>
        <w:rPr>
          <w:rFonts w:ascii="Menlo" w:hAnsi="Menlo"/>
          <w:b w:val="0"/>
          <w:i w:val="0"/>
          <w:color w:val="23374B"/>
          <w:sz w:val="17"/>
        </w:rPr>
        <w:t>resource.meta.claims</w:t>
      </w:r>
      <w:r>
        <w:rPr>
          <w:rFonts w:ascii="Arial" w:hAnsi="Arial"/>
          <w:b w:val="0"/>
          <w:i w:val="0"/>
          <w:sz w:val="19"/>
        </w:rPr>
        <w:t xml:space="preserve"> es un portador de reclamaciones específico del proyecto y </w:t>
      </w:r>
      <w:r>
        <w:rPr>
          <w:rFonts w:ascii="Arial" w:hAnsi="Arial"/>
          <w:b/>
          <w:i w:val="0"/>
          <w:sz w:val="19"/>
        </w:rPr>
        <w:t>no forma parte de FHIR base</w:t>
      </w:r>
      <w:r>
        <w:rPr>
          <w:rFonts w:ascii="Arial" w:hAnsi="Arial"/>
          <w:b w:val="0"/>
          <w:i w:val="0"/>
          <w:sz w:val="19"/>
        </w:rPr>
        <w:t>. Debe declararse como extensión/contrato claims-first del GW y SDK. Los recursos FHIR nativos se normalizan o materializan en los límites explícitos de importación, proyección o exportación.</w:t>
      </w:r>
    </w:p>
    <w:p>
      <w:pPr>
        <w:pStyle w:val="Heading2"/>
        <w:spacing w:before="120" w:after="40" w:line="252" w:lineRule="auto"/>
      </w:pPr>
      <w:r>
        <w:rPr>
          <w:rFonts w:ascii="Arial" w:hAnsi="Arial"/>
          <w:b w:val="0"/>
          <w:i w:val="0"/>
          <w:sz w:val="19"/>
        </w:rPr>
        <w:t>9.5 SMART-on-FHIR y control de acceso por atributos</w:t>
      </w:r>
    </w:p>
    <w:p>
      <w:pPr>
        <w:spacing w:before="0" w:after="80" w:line="252" w:lineRule="auto"/>
      </w:pPr>
      <w:r>
        <w:rPr>
          <w:rFonts w:ascii="Arial" w:hAnsi="Arial"/>
          <w:b w:val="0"/>
          <w:i w:val="0"/>
          <w:sz w:val="19"/>
        </w:rPr>
        <w:t>GW CORE aplica el control operativo: registra el dispositivo, emite y valida el token SMART, comprueba actor, sujeto, audiencia, consentimiento, scopes y atributos de autorización antes de acceder a los índices protegidos. El portal o BFF inicia el caso de uso y conserva la sesión del usuario, pero no decide por sí mismo la autorización clínica ni selecciona canales o smart contracts.</w:t>
      </w:r>
    </w:p>
    <w:p>
      <w:pPr>
        <w:pStyle w:val="Heading2"/>
        <w:spacing w:before="120" w:after="40" w:line="252" w:lineRule="auto"/>
      </w:pPr>
      <w:r>
        <w:rPr>
          <w:rFonts w:ascii="Arial" w:hAnsi="Arial"/>
          <w:b w:val="0"/>
          <w:i w:val="0"/>
          <w:sz w:val="19"/>
        </w:rPr>
        <w:t>9.6 Tipos de recurso clínico</w:t>
      </w:r>
    </w:p>
    <w:p>
      <w:pPr>
        <w:spacing w:before="0" w:after="80" w:line="252" w:lineRule="auto"/>
      </w:pPr>
      <w:r>
        <w:rPr>
          <w:rFonts w:ascii="Arial" w:hAnsi="Arial"/>
          <w:b w:val="0"/>
          <w:i w:val="0"/>
          <w:sz w:val="19"/>
        </w:rPr>
        <w:t xml:space="preserve">GW CORE no debe documentarse como una lista global fija de cuatro recursos. Cada base FHIR publica un </w:t>
      </w:r>
      <w:r>
        <w:rPr>
          <w:rFonts w:ascii="Menlo" w:hAnsi="Menlo"/>
          <w:b w:val="0"/>
          <w:i w:val="0"/>
          <w:color w:val="23374B"/>
          <w:sz w:val="17"/>
        </w:rPr>
        <w:t>CapabilityStatement</w:t>
      </w:r>
      <w:r>
        <w:rPr>
          <w:rFonts w:ascii="Arial" w:hAnsi="Arial"/>
          <w:b w:val="0"/>
          <w:i w:val="0"/>
          <w:sz w:val="19"/>
        </w:rPr>
        <w:t xml:space="preserve"> derivado del tenant, sector, sección, versión FHIR y capacidades activadas. Si el backend afirma cuatro tipos concretos, la comparación correcta es contrastar esos cuatro con el </w:t>
      </w:r>
      <w:r>
        <w:rPr>
          <w:rFonts w:ascii="Menlo" w:hAnsi="Menlo"/>
          <w:b w:val="0"/>
          <w:i w:val="0"/>
          <w:color w:val="23374B"/>
          <w:sz w:val="17"/>
        </w:rPr>
        <w:t>[base]/metadata</w:t>
      </w:r>
      <w:r>
        <w:rPr>
          <w:rFonts w:ascii="Arial" w:hAnsi="Arial"/>
          <w:b w:val="0"/>
          <w:i w:val="0"/>
          <w:sz w:val="19"/>
        </w:rPr>
        <w:t xml:space="preserve"> del entorno exacto.</w:t>
      </w:r>
    </w:p>
    <w:p>
      <w:pPr>
        <w:pStyle w:val="Heading2"/>
        <w:spacing w:before="120" w:after="40" w:line="252" w:lineRule="auto"/>
      </w:pPr>
      <w:r>
        <w:rPr>
          <w:rFonts w:ascii="Arial" w:hAnsi="Arial"/>
          <w:b w:val="0"/>
          <w:i w:val="0"/>
          <w:sz w:val="19"/>
        </w:rPr>
        <w:t>9.7 Imagen publicada</w:t>
      </w:r>
    </w:p>
    <w:p>
      <w:pPr>
        <w:spacing w:before="0" w:after="80" w:line="252" w:lineRule="auto"/>
      </w:pPr>
      <w:r>
        <w:rPr>
          <w:rFonts w:ascii="Arial" w:hAnsi="Arial"/>
          <w:b w:val="0"/>
          <w:i w:val="0"/>
          <w:sz w:val="19"/>
        </w:rPr>
        <w:t xml:space="preserve">La imagen que respalda esta evidencia es la versión 1.25.24 del commit indicado y es definitiva para esta ejecución reproducible. No debe presentarse como compilación de cualquier cambio posterior de </w:t>
      </w:r>
      <w:r>
        <w:rPr>
          <w:rFonts w:ascii="Menlo" w:hAnsi="Menlo"/>
          <w:b w:val="0"/>
          <w:i w:val="0"/>
          <w:color w:val="23374B"/>
          <w:sz w:val="17"/>
        </w:rPr>
        <w:t>main</w:t>
      </w:r>
      <w:r>
        <w:rPr>
          <w:rFonts w:ascii="Arial" w:hAnsi="Arial"/>
          <w:b w:val="0"/>
          <w:i w:val="0"/>
          <w:sz w:val="19"/>
        </w:rPr>
        <w:t>. La documentación pública referencia un digest OCI inmutable para la distribución auditada; una imagen actualizada requiere su propia ejecución y evidencia ligada al nuevo digest.</w:t>
      </w:r>
    </w:p>
    <w:p>
      <w:pPr>
        <w:pStyle w:val="Heading2"/>
        <w:spacing w:before="120" w:after="40" w:line="252" w:lineRule="auto"/>
      </w:pPr>
      <w:r>
        <w:rPr>
          <w:rFonts w:ascii="Arial" w:hAnsi="Arial"/>
          <w:b w:val="0"/>
          <w:i w:val="0"/>
          <w:sz w:val="19"/>
        </w:rPr>
        <w:t>9.8 Documentación pública</w:t>
      </w:r>
    </w:p>
    <w:p>
      <w:pPr>
        <w:spacing w:before="0" w:after="80" w:line="252" w:lineRule="auto"/>
      </w:pPr>
      <w:r>
        <w:rPr>
          <w:rFonts w:ascii="Arial" w:hAnsi="Arial"/>
          <w:b w:val="0"/>
          <w:i w:val="0"/>
          <w:sz w:val="19"/>
        </w:rPr>
        <w:t xml:space="preserve">El repositorio </w:t>
      </w:r>
      <w:hyperlink r:id="rId10">
        <w:r>
          <w:rPr>
            <w:rFonts w:ascii="Arial" w:hAnsi="Arial"/>
            <w:color w:val="0563C1"/>
            <w:u w:val="single"/>
            <w:sz w:val="19"/>
          </w:rPr>
          <w:t>Global-DataCare/gwtemplate-node-ts</w:t>
        </w:r>
      </w:hyperlink>
      <w:r>
        <w:rPr>
          <w:rFonts w:ascii="Arial" w:hAnsi="Arial"/>
          <w:b w:val="0"/>
          <w:i w:val="0"/>
          <w:sz w:val="19"/>
        </w:rPr>
        <w:t xml:space="preserve"> es público y se presenta como punto de entrada del entregable. El paquete de evidencia </w:t>
      </w:r>
      <w:r>
        <w:rPr>
          <w:rFonts w:ascii="Menlo" w:hAnsi="Menlo"/>
          <w:b w:val="0"/>
          <w:i w:val="0"/>
          <w:color w:val="23374B"/>
          <w:sz w:val="17"/>
        </w:rPr>
        <w:t>20260921T191100Z</w:t>
      </w:r>
      <w:r>
        <w:rPr>
          <w:rFonts w:ascii="Arial" w:hAnsi="Arial"/>
          <w:b w:val="0"/>
          <w:i w:val="0"/>
          <w:sz w:val="19"/>
        </w:rPr>
        <w:t xml:space="preserve"> se incluye bajo </w:t>
      </w:r>
      <w:r>
        <w:rPr>
          <w:rFonts w:ascii="Menlo" w:hAnsi="Menlo"/>
          <w:b w:val="0"/>
          <w:i w:val="0"/>
          <w:color w:val="23374B"/>
          <w:sz w:val="17"/>
        </w:rPr>
        <w:t>deliverables/open-source-production-readiness/</w:t>
      </w:r>
      <w:r>
        <w:rPr>
          <w:rFonts w:ascii="Arial" w:hAnsi="Arial"/>
          <w:b w:val="0"/>
          <w:i w:val="0"/>
          <w:sz w:val="19"/>
        </w:rPr>
        <w:t xml:space="preserve"> para que el evaluador pueda consultar el resumen, los logs, los estados y el manifiesto de la ejecución.</w:t>
      </w:r>
    </w:p>
    <w:p>
      <w:pPr>
        <w:pStyle w:val="Heading1"/>
        <w:spacing w:before="160" w:after="60" w:line="252" w:lineRule="auto"/>
      </w:pPr>
      <w:r>
        <w:rPr>
          <w:rFonts w:ascii="Arial" w:hAnsi="Arial"/>
          <w:b w:val="0"/>
          <w:i w:val="0"/>
          <w:sz w:val="19"/>
        </w:rPr>
        <w:t>10. Casos representativos conservados por nombre</w:t>
      </w:r>
    </w:p>
    <w:p>
      <w:pPr>
        <w:spacing w:before="0" w:after="80" w:line="252" w:lineRule="auto"/>
      </w:pPr>
      <w:r>
        <w:rPr>
          <w:rFonts w:ascii="Arial" w:hAnsi="Arial"/>
          <w:b w:val="0"/>
          <w:i w:val="0"/>
          <w:sz w:val="19"/>
        </w:rPr>
        <w:t>Los logs conservan los nombres y tiempos de los casos TAP/Mocha. Entre ellos:</w:t>
      </w:r>
    </w:p>
    <w:p>
      <w:pPr>
        <w:pStyle w:val="ListBullet"/>
        <w:spacing w:before="0" w:after="40" w:line="252" w:lineRule="auto"/>
      </w:pPr>
      <w:r>
        <w:rPr>
          <w:rFonts w:ascii="Menlo" w:hAnsi="Menlo"/>
          <w:b w:val="0"/>
          <w:i w:val="0"/>
          <w:color w:val="23374B"/>
          <w:sz w:val="17"/>
        </w:rPr>
        <w:t>static publication binds DID, JWKS, X.509 chain and trust pins</w:t>
      </w:r>
      <w:r>
        <w:rPr>
          <w:rFonts w:ascii="Arial" w:hAnsi="Arial"/>
          <w:b w:val="0"/>
          <w:i w:val="0"/>
          <w:sz w:val="19"/>
        </w:rPr>
        <w:t xml:space="preserve"> — PASS.</w:t>
      </w:r>
    </w:p>
    <w:p>
      <w:pPr>
        <w:pStyle w:val="ListBullet"/>
        <w:spacing w:before="0" w:after="40" w:line="252" w:lineRule="auto"/>
      </w:pPr>
      <w:r>
        <w:rPr>
          <w:rFonts w:ascii="Menlo" w:hAnsi="Menlo"/>
          <w:b w:val="0"/>
          <w:i w:val="0"/>
          <w:color w:val="23374B"/>
          <w:sz w:val="17"/>
        </w:rPr>
        <w:t>ICA runtime derivation profile reproduces the dataspace-ica VC signing key contract</w:t>
      </w:r>
      <w:r>
        <w:rPr>
          <w:rFonts w:ascii="Arial" w:hAnsi="Arial"/>
          <w:b w:val="0"/>
          <w:i w:val="0"/>
          <w:sz w:val="19"/>
        </w:rPr>
        <w:t xml:space="preserve"> — PASS.</w:t>
      </w:r>
    </w:p>
    <w:p>
      <w:pPr>
        <w:pStyle w:val="ListBullet"/>
        <w:spacing w:before="0" w:after="40" w:line="252" w:lineRule="auto"/>
      </w:pPr>
      <w:r>
        <w:rPr>
          <w:rFonts w:ascii="Menlo" w:hAnsi="Menlo"/>
          <w:b w:val="0"/>
          <w:i w:val="0"/>
          <w:color w:val="23374B"/>
          <w:sz w:val="17"/>
        </w:rPr>
        <w:t>signed host-service PDF exposes every field required for Service VC issuance</w:t>
      </w:r>
      <w:r>
        <w:rPr>
          <w:rFonts w:ascii="Arial" w:hAnsi="Arial"/>
          <w:b w:val="0"/>
          <w:i w:val="0"/>
          <w:sz w:val="19"/>
        </w:rPr>
        <w:t xml:space="preserve"> — PASS.</w:t>
      </w:r>
    </w:p>
    <w:p>
      <w:pPr>
        <w:pStyle w:val="ListBullet"/>
        <w:spacing w:before="0" w:after="40" w:line="252" w:lineRule="auto"/>
      </w:pPr>
      <w:r>
        <w:rPr>
          <w:rFonts w:ascii="Menlo" w:hAnsi="Menlo"/>
          <w:b w:val="0"/>
          <w:i w:val="0"/>
          <w:color w:val="23374B"/>
          <w:sz w:val="17"/>
        </w:rPr>
        <w:t>preauthorized local-network host is accepted without a PDF and produces governed evidence</w:t>
      </w:r>
      <w:r>
        <w:rPr>
          <w:rFonts w:ascii="Arial" w:hAnsi="Arial"/>
          <w:b w:val="0"/>
          <w:i w:val="0"/>
          <w:sz w:val="19"/>
        </w:rPr>
        <w:t xml:space="preserve"> — PASS.</w:t>
      </w:r>
    </w:p>
    <w:p>
      <w:pPr>
        <w:pStyle w:val="ListBullet"/>
        <w:spacing w:before="0" w:after="40" w:line="252" w:lineRule="auto"/>
      </w:pPr>
      <w:r>
        <w:rPr>
          <w:rFonts w:ascii="Menlo" w:hAnsi="Menlo"/>
          <w:b w:val="0"/>
          <w:i w:val="0"/>
          <w:color w:val="23374B"/>
          <w:sz w:val="17"/>
        </w:rPr>
        <w:t>one-time host activation verifies the submitted JWK without DNS or a mounted DID document</w:t>
      </w:r>
      <w:r>
        <w:rPr>
          <w:rFonts w:ascii="Arial" w:hAnsi="Arial"/>
          <w:b w:val="0"/>
          <w:i w:val="0"/>
          <w:sz w:val="19"/>
        </w:rPr>
        <w:t xml:space="preserve"> — PASS.</w:t>
      </w:r>
    </w:p>
    <w:p>
      <w:pPr>
        <w:pStyle w:val="ListBullet"/>
        <w:spacing w:before="0" w:after="40" w:line="252" w:lineRule="auto"/>
      </w:pPr>
      <w:r>
        <w:rPr>
          <w:rFonts w:ascii="Menlo" w:hAnsi="Menlo"/>
          <w:b w:val="0"/>
          <w:i w:val="0"/>
          <w:color w:val="23374B"/>
          <w:sz w:val="17"/>
        </w:rPr>
        <w:t>persists and atomically consumes one host activation in PostgreSQL</w:t>
      </w:r>
      <w:r>
        <w:rPr>
          <w:rFonts w:ascii="Arial" w:hAnsi="Arial"/>
          <w:b w:val="0"/>
          <w:i w:val="0"/>
          <w:sz w:val="19"/>
        </w:rPr>
        <w:t xml:space="preserve"> — PASS.</w:t>
      </w:r>
    </w:p>
    <w:p>
      <w:pPr>
        <w:pStyle w:val="ListBullet"/>
        <w:spacing w:before="0" w:after="40" w:line="252" w:lineRule="auto"/>
      </w:pPr>
      <w:r>
        <w:rPr>
          <w:rFonts w:ascii="Menlo" w:hAnsi="Menlo"/>
          <w:b w:val="0"/>
          <w:i w:val="0"/>
          <w:color w:val="23374B"/>
          <w:sz w:val="17"/>
        </w:rPr>
        <w:t>Kubo stores and retrieves the exact migrated audit bytes by CID</w:t>
      </w:r>
      <w:r>
        <w:rPr>
          <w:rFonts w:ascii="Arial" w:hAnsi="Arial"/>
          <w:b w:val="0"/>
          <w:i w:val="0"/>
          <w:sz w:val="19"/>
        </w:rPr>
        <w:t xml:space="preserve"> — PASS.</w:t>
      </w:r>
    </w:p>
    <w:p>
      <w:pPr>
        <w:pStyle w:val="ListBullet"/>
        <w:spacing w:before="0" w:after="40" w:line="252" w:lineRule="auto"/>
      </w:pPr>
      <w:r>
        <w:rPr>
          <w:rFonts w:ascii="Menlo" w:hAnsi="Menlo"/>
          <w:b w:val="0"/>
          <w:i w:val="0"/>
          <w:color w:val="23374B"/>
          <w:sz w:val="17"/>
        </w:rPr>
        <w:t>validates inventory-bound decisions and builds an exact deterministic plan</w:t>
      </w:r>
      <w:r>
        <w:rPr>
          <w:rFonts w:ascii="Arial" w:hAnsi="Arial"/>
          <w:b w:val="0"/>
          <w:i w:val="0"/>
          <w:sz w:val="19"/>
        </w:rPr>
        <w:t xml:space="preserve"> — PASS.</w:t>
      </w:r>
    </w:p>
    <w:p>
      <w:pPr>
        <w:pStyle w:val="ListBullet"/>
        <w:spacing w:before="0" w:after="40" w:line="252" w:lineRule="auto"/>
      </w:pPr>
      <w:r>
        <w:rPr>
          <w:rFonts w:ascii="Menlo" w:hAnsi="Menlo"/>
          <w:b w:val="0"/>
          <w:i w:val="0"/>
          <w:color w:val="23374B"/>
          <w:sz w:val="17"/>
        </w:rPr>
        <w:t>apply re-inspects every step, persists completion and is idempotent</w:t>
      </w:r>
      <w:r>
        <w:rPr>
          <w:rFonts w:ascii="Arial" w:hAnsi="Arial"/>
          <w:b w:val="0"/>
          <w:i w:val="0"/>
          <w:sz w:val="19"/>
        </w:rPr>
        <w:t xml:space="preserve"> — PASS.</w:t>
      </w:r>
    </w:p>
    <w:p>
      <w:pPr>
        <w:pStyle w:val="ListBullet"/>
        <w:spacing w:before="0" w:after="40" w:line="252" w:lineRule="auto"/>
      </w:pPr>
      <w:r>
        <w:rPr>
          <w:rFonts w:ascii="Menlo" w:hAnsi="Menlo"/>
          <w:b w:val="0"/>
          <w:i w:val="0"/>
          <w:color w:val="23374B"/>
          <w:sz w:val="17"/>
        </w:rPr>
        <w:t>creates a sanitized consent access bundle and writes it to state</w:t>
      </w:r>
      <w:r>
        <w:rPr>
          <w:rFonts w:ascii="Arial" w:hAnsi="Arial"/>
          <w:b w:val="0"/>
          <w:i w:val="0"/>
          <w:sz w:val="19"/>
        </w:rPr>
        <w:t xml:space="preserve"> — PASS.</w:t>
      </w:r>
    </w:p>
    <w:p>
      <w:pPr>
        <w:pStyle w:val="ListBullet"/>
        <w:spacing w:before="0" w:after="40" w:line="252" w:lineRule="auto"/>
      </w:pPr>
      <w:r>
        <w:rPr>
          <w:rFonts w:ascii="Menlo" w:hAnsi="Menlo"/>
          <w:b w:val="0"/>
          <w:i w:val="0"/>
          <w:color w:val="23374B"/>
          <w:sz w:val="17"/>
        </w:rPr>
        <w:t>upserts by returning the previous asset when the sanitized data is identical</w:t>
      </w:r>
      <w:r>
        <w:rPr>
          <w:rFonts w:ascii="Arial" w:hAnsi="Arial"/>
          <w:b w:val="0"/>
          <w:i w:val="0"/>
          <w:sz w:val="19"/>
        </w:rPr>
        <w:t xml:space="preserve"> — PASS.</w:t>
      </w:r>
    </w:p>
    <w:p>
      <w:pPr>
        <w:pStyle w:val="ListBullet"/>
        <w:spacing w:before="0" w:after="40" w:line="252" w:lineRule="auto"/>
      </w:pPr>
      <w:r>
        <w:rPr>
          <w:rFonts w:ascii="Menlo" w:hAnsi="Menlo"/>
          <w:b w:val="0"/>
          <w:i w:val="0"/>
          <w:color w:val="23374B"/>
          <w:sz w:val="17"/>
        </w:rPr>
        <w:t>builds consent access history through both method names</w:t>
      </w:r>
      <w:r>
        <w:rPr>
          <w:rFonts w:ascii="Arial" w:hAnsi="Arial"/>
          <w:b w:val="0"/>
          <w:i w:val="0"/>
          <w:sz w:val="19"/>
        </w:rPr>
        <w:t xml:space="preserve"> — PASS.</w:t>
      </w:r>
    </w:p>
    <w:p>
      <w:pPr>
        <w:spacing w:before="0" w:after="80" w:line="252" w:lineRule="auto"/>
      </w:pPr>
      <w:r>
        <w:rPr>
          <w:rFonts w:ascii="Arial" w:hAnsi="Arial"/>
          <w:b w:val="0"/>
          <w:i w:val="0"/>
          <w:sz w:val="19"/>
        </w:rPr>
        <w:t>Para la entrega exhaustiva, los logs originales son la fuente canónica de los 111 resultados. Los dos ficheros Jest de taxonomía contienen 19 casos superados, aunque esa invocación no imprimió cada nombre individual; sí conserva los nombres de los ficheros, el total, el estado y el tiempo.</w:t>
      </w:r>
    </w:p>
    <w:p>
      <w:pPr>
        <w:pStyle w:val="Heading1"/>
        <w:spacing w:before="160" w:after="60" w:line="252" w:lineRule="auto"/>
      </w:pPr>
      <w:r>
        <w:rPr>
          <w:rFonts w:ascii="Arial" w:hAnsi="Arial"/>
          <w:b w:val="0"/>
          <w:i w:val="0"/>
          <w:sz w:val="19"/>
        </w:rPr>
        <w:t>11. Referencias del paquete de evidencia</w:t>
      </w:r>
    </w:p>
    <w:p>
      <w:pPr>
        <w:spacing w:before="0" w:after="80" w:line="252" w:lineRule="auto"/>
      </w:pPr>
      <w:r>
        <w:rPr>
          <w:rFonts w:ascii="Arial" w:hAnsi="Arial"/>
          <w:b/>
          <w:i w:val="0"/>
          <w:color w:val="4B6075"/>
          <w:sz w:val="17"/>
        </w:rPr>
        <w:t>Resumen:</w:t>
      </w:r>
      <w:r>
        <w:rPr>
          <w:rFonts w:ascii="Arial" w:hAnsi="Arial"/>
          <w:color w:val="4B6075"/>
          <w:sz w:val="17"/>
        </w:rPr>
        <w:br/>
      </w:r>
      <w:hyperlink r:id="rId11">
        <w:r>
          <w:rPr>
            <w:rFonts w:ascii="Arial" w:hAnsi="Arial"/>
            <w:color w:val="0563C1"/>
            <w:u w:val="single"/>
            <w:sz w:val="19"/>
          </w:rPr>
          <w:t>https://github.com/Global-DataCare/gwtemplate-node-ts/blob/main/deliverables/open-source-production-readiness/20260921T191100Z/SUMMARY.md</w:t>
        </w:r>
      </w:hyperlink>
    </w:p>
    <w:p>
      <w:pPr>
        <w:spacing w:before="0" w:after="80" w:line="252" w:lineRule="auto"/>
      </w:pPr>
      <w:r>
        <w:rPr>
          <w:rFonts w:ascii="Arial" w:hAnsi="Arial"/>
          <w:b/>
          <w:i w:val="0"/>
          <w:color w:val="4B6075"/>
          <w:sz w:val="17"/>
        </w:rPr>
        <w:t>Manifiesto:</w:t>
      </w:r>
      <w:r>
        <w:rPr>
          <w:rFonts w:ascii="Arial" w:hAnsi="Arial"/>
          <w:color w:val="4B6075"/>
          <w:sz w:val="17"/>
        </w:rPr>
        <w:br/>
      </w:r>
      <w:hyperlink r:id="rId12">
        <w:r>
          <w:rPr>
            <w:rFonts w:ascii="Arial" w:hAnsi="Arial"/>
            <w:color w:val="0563C1"/>
            <w:u w:val="single"/>
            <w:sz w:val="19"/>
          </w:rPr>
          <w:t>https://github.com/Global-DataCare/gwtemplate-node-ts/blob/main/deliverables/open-source-production-readiness/20260921T191100Z/manifest.json</w:t>
        </w:r>
      </w:hyperlink>
    </w:p>
    <w:p>
      <w:pPr>
        <w:spacing w:before="0" w:after="80" w:line="252" w:lineRule="auto"/>
      </w:pPr>
      <w:r>
        <w:rPr>
          <w:rFonts w:ascii="Arial" w:hAnsi="Arial"/>
          <w:b/>
          <w:i w:val="0"/>
          <w:color w:val="4B6075"/>
          <w:sz w:val="17"/>
        </w:rPr>
        <w:t>Logs:</w:t>
      </w:r>
      <w:r>
        <w:rPr>
          <w:rFonts w:ascii="Arial" w:hAnsi="Arial"/>
          <w:color w:val="4B6075"/>
          <w:sz w:val="17"/>
        </w:rPr>
        <w:br/>
      </w:r>
      <w:hyperlink r:id="rId13">
        <w:r>
          <w:rPr>
            <w:rFonts w:ascii="Arial" w:hAnsi="Arial"/>
            <w:color w:val="0563C1"/>
            <w:u w:val="single"/>
            <w:sz w:val="19"/>
          </w:rPr>
          <w:t>https://github.com/Global-DataCare/gwtemplate-node-ts/tree/main/deliverables/open-source-production-readiness/20260921T191100Z/logs</w:t>
        </w:r>
      </w:hyperlink>
    </w:p>
    <w:p>
      <w:pPr>
        <w:spacing w:before="0" w:after="80" w:line="252" w:lineRule="auto"/>
      </w:pPr>
      <w:r>
        <w:rPr>
          <w:rFonts w:ascii="Arial" w:hAnsi="Arial"/>
          <w:b/>
          <w:i w:val="0"/>
          <w:color w:val="4B6075"/>
          <w:sz w:val="17"/>
        </w:rPr>
        <w:t>Estados de las puertas:</w:t>
      </w:r>
      <w:r>
        <w:rPr>
          <w:rFonts w:ascii="Arial" w:hAnsi="Arial"/>
          <w:color w:val="4B6075"/>
          <w:sz w:val="17"/>
        </w:rPr>
        <w:br/>
      </w:r>
      <w:hyperlink r:id="rId14">
        <w:r>
          <w:rPr>
            <w:rFonts w:ascii="Arial" w:hAnsi="Arial"/>
            <w:color w:val="0563C1"/>
            <w:u w:val="single"/>
            <w:sz w:val="19"/>
          </w:rPr>
          <w:t>https://github.com/Global-DataCare/gwtemplate-node-ts/tree/main/deliverables/open-source-production-readiness/20260921T191100Z/gates</w:t>
        </w:r>
      </w:hyperlink>
    </w:p>
    <w:p>
      <w:pPr>
        <w:spacing w:before="0" w:after="80" w:line="252" w:lineRule="auto"/>
      </w:pPr>
      <w:r>
        <w:rPr>
          <w:rFonts w:ascii="Arial" w:hAnsi="Arial"/>
          <w:b/>
          <w:i w:val="0"/>
          <w:color w:val="4B6075"/>
          <w:sz w:val="17"/>
        </w:rPr>
        <w:t>Evidencia PostgreSQL/IPFS de la ICA:</w:t>
      </w:r>
      <w:r>
        <w:rPr>
          <w:rFonts w:ascii="Arial" w:hAnsi="Arial"/>
          <w:color w:val="4B6075"/>
          <w:sz w:val="17"/>
        </w:rPr>
        <w:br/>
      </w:r>
      <w:hyperlink r:id="rId15">
        <w:r>
          <w:rPr>
            <w:rFonts w:ascii="Arial" w:hAnsi="Arial"/>
            <w:color w:val="0563C1"/>
            <w:u w:val="single"/>
            <w:sz w:val="19"/>
          </w:rPr>
          <w:t>https://github.com/Global-DataCare/gwtemplate-node-ts/tree/main/deliverables/open-source-production-readiness/20260921T191100Z/dataspace-ica-postgres-ipfs</w:t>
        </w:r>
      </w:hyperlink>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B66"/>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B6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34F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B66"/>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Global-DataCare/gwtemplate-node-ts/tree/main/deliverables/open-source-production-readiness/20260921T191100Z" TargetMode="External"/><Relationship Id="rId10" Type="http://schemas.openxmlformats.org/officeDocument/2006/relationships/hyperlink" Target="https://github.com/Global-DataCare/gwtemplate-node-ts" TargetMode="External"/><Relationship Id="rId11" Type="http://schemas.openxmlformats.org/officeDocument/2006/relationships/hyperlink" Target="https://github.com/Global-DataCare/gwtemplate-node-ts/blob/main/deliverables/open-source-production-readiness/20260921T191100Z/SUMMARY.md" TargetMode="External"/><Relationship Id="rId12" Type="http://schemas.openxmlformats.org/officeDocument/2006/relationships/hyperlink" Target="https://github.com/Global-DataCare/gwtemplate-node-ts/blob/main/deliverables/open-source-production-readiness/20260921T191100Z/manifest.json" TargetMode="External"/><Relationship Id="rId13" Type="http://schemas.openxmlformats.org/officeDocument/2006/relationships/hyperlink" Target="https://github.com/Global-DataCare/gwtemplate-node-ts/tree/main/deliverables/open-source-production-readiness/20260921T191100Z/logs" TargetMode="External"/><Relationship Id="rId14" Type="http://schemas.openxmlformats.org/officeDocument/2006/relationships/hyperlink" Target="https://github.com/Global-DataCare/gwtemplate-node-ts/tree/main/deliverables/open-source-production-readiness/20260921T191100Z/gates" TargetMode="External"/><Relationship Id="rId15" Type="http://schemas.openxmlformats.org/officeDocument/2006/relationships/hyperlink" Target="https://github.com/Global-DataCare/gwtemplate-node-ts/tree/main/deliverables/open-source-production-readiness/20260921T191100Z/dataspace-ica-postgres-ip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SEDIA de ejecución local-network</dc:title>
  <dc:subject>Evidencia reproducible y aclaraciones técnicas</dc:subject>
  <dc:creator>Global Data Care</dc:creator>
  <cp:keywords/>
  <dc:description>generated by python-docx</dc:description>
  <cp:lastModifiedBy/>
  <cp:revision>1</cp:revision>
  <dcterms:created xsi:type="dcterms:W3CDTF">2013-12-23T23:15:00Z</dcterms:created>
  <dcterms:modified xsi:type="dcterms:W3CDTF">2013-12-23T23:15:00Z</dcterms:modified>
  <cp:category/>
</cp:coreProperties>
</file>