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Importing</w:t>
      </w:r>
      <w:r>
        <w:t xml:space="preserve"> </w:t>
      </w:r>
      <w:r>
        <w:t xml:space="preserve">and</w:t>
      </w:r>
      <w:r>
        <w:t xml:space="preserve"> </w:t>
      </w:r>
      <w:r>
        <w:t xml:space="preserve">Wrangling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05,</w:t>
      </w:r>
      <w:r>
        <w:t xml:space="preserve"> </w:t>
      </w:r>
      <w:r>
        <w:t xml:space="preserve">2021</w:t>
      </w:r>
    </w:p>
    <w:bookmarkStart w:id="20" w:name="install-and-load-libraries"/>
    <w:p>
      <w:pPr>
        <w:pStyle w:val="Heading1"/>
      </w:pPr>
      <w:r>
        <w:t xml:space="preserve">Install and 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openxlsx</w:t>
      </w:r>
      <w:r>
        <w:t xml:space="preserve">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tidyverse</w:t>
      </w:r>
      <w:r>
        <w:t xml:space="preserve">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janitor</w:t>
      </w:r>
      <w:r>
        <w:t xml:space="preserve">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knitr</w:t>
      </w:r>
      <w:r>
        <w:t xml:space="preserve">:</w:t>
      </w:r>
    </w:p>
    <w:bookmarkEnd w:id="20"/>
    <w:bookmarkStart w:id="39" w:name="data-import-and-wrangling"/>
    <w:p>
      <w:pPr>
        <w:pStyle w:val="Heading1"/>
      </w:pPr>
      <w:r>
        <w:t xml:space="preserve">Data Import and Wrangling</w:t>
      </w:r>
    </w:p>
    <w:bookmarkStart w:id="23" w:name="import-data"/>
    <w:p>
      <w:pPr>
        <w:pStyle w:val="Heading2"/>
      </w:pPr>
      <w:r>
        <w:t xml:space="preserve">Import data</w:t>
      </w:r>
    </w:p>
    <w:bookmarkStart w:id="21" w:name="annex-i-parties"/>
    <w:p>
      <w:pPr>
        <w:pStyle w:val="Heading3"/>
      </w:pPr>
      <w:r>
        <w:t xml:space="preserve">Annex I parties</w:t>
      </w:r>
    </w:p>
    <w:p>
      <w:pPr>
        <w:pStyle w:val="SourceCode"/>
      </w:pPr>
      <w:r>
        <w:rPr>
          <w:rStyle w:val="NormalTok"/>
        </w:rPr>
        <w:t xml:space="preserve">Annex_I_emissions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"Annual-Net-emissions-removals-Annex-I-raw.xlsx"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fillMergedCells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bookmarkEnd w:id="21"/>
    <w:bookmarkStart w:id="22" w:name="non-annex-i-parties"/>
    <w:p>
      <w:pPr>
        <w:pStyle w:val="Heading3"/>
      </w:pPr>
      <w:r>
        <w:t xml:space="preserve">Non-Annex I parties</w:t>
      </w:r>
    </w:p>
    <w:p>
      <w:pPr>
        <w:pStyle w:val="SourceCode"/>
      </w:pPr>
      <w:r>
        <w:rPr>
          <w:rStyle w:val="NormalTok"/>
        </w:rPr>
        <w:t xml:space="preserve">Non_Annex_I_emissions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"Annual-Net-emissions-removals-Non-Annex-I-raw.xlsx"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fillMergedCells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bookmarkEnd w:id="22"/>
    <w:bookmarkEnd w:id="23"/>
    <w:bookmarkStart w:id="26" w:name="clean-variables"/>
    <w:p>
      <w:pPr>
        <w:pStyle w:val="Heading2"/>
      </w:pPr>
      <w:r>
        <w:t xml:space="preserve">Clean variables</w:t>
      </w:r>
    </w:p>
    <w:bookmarkStart w:id="24" w:name="annex-i-parties-1"/>
    <w:p>
      <w:pPr>
        <w:pStyle w:val="Heading3"/>
      </w:pPr>
      <w:r>
        <w:t xml:space="preserve">Annex I parties</w:t>
      </w:r>
    </w:p>
    <w:p>
      <w:pPr>
        <w:pStyle w:val="SourceCode"/>
      </w:pPr>
      <w:r>
        <w:rPr>
          <w:rStyle w:val="NormalTok"/>
        </w:rPr>
        <w:t xml:space="preserve">Annex_I_emissions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Annex_I_emissions[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(Annex_I_emissions)[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"party"</w:t>
      </w:r>
      <w:r>
        <w:br/>
      </w:r>
      <w:r>
        <w:br/>
      </w:r>
      <w:r>
        <w:rPr>
          <w:rStyle w:val="NormalTok"/>
        </w:rPr>
        <w:t xml:space="preserve">Annex_I_emissions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Annex_I_emissions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(.,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"gh_gs"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)))</w:t>
      </w:r>
    </w:p>
    <w:bookmarkEnd w:id="24"/>
    <w:bookmarkStart w:id="25" w:name="non-annex-i-parties-1"/>
    <w:p>
      <w:pPr>
        <w:pStyle w:val="Heading3"/>
      </w:pPr>
      <w:r>
        <w:t xml:space="preserve">Non-Annex I parties</w:t>
      </w:r>
    </w:p>
    <w:p>
      <w:pPr>
        <w:pStyle w:val="SourceCode"/>
      </w:pPr>
      <w:r>
        <w:rPr>
          <w:rStyle w:val="NormalTok"/>
        </w:rPr>
        <w:t xml:space="preserve">Non_Annex_I_emissions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Non_Annex_I_emissions[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(Non_Annex_I_emissions)[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"party"</w:t>
      </w:r>
      <w:r>
        <w:br/>
      </w:r>
      <w:r>
        <w:br/>
      </w:r>
      <w:r>
        <w:rPr>
          <w:rStyle w:val="NormalTok"/>
        </w:rPr>
        <w:t xml:space="preserve">Non_Annex_I_emissions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Non_Annex_I_emissions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"gh_gs"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)))</w:t>
      </w:r>
    </w:p>
    <w:bookmarkEnd w:id="25"/>
    <w:bookmarkEnd w:id="26"/>
    <w:bookmarkStart w:id="29" w:name="disaggreagate-data-by-gas-type"/>
    <w:p>
      <w:pPr>
        <w:pStyle w:val="Heading2"/>
      </w:pPr>
      <w:r>
        <w:t xml:space="preserve">Disaggreagate data by gas type</w:t>
      </w:r>
    </w:p>
    <w:bookmarkStart w:id="27" w:name="annex-i-parties-2"/>
    <w:p>
      <w:pPr>
        <w:pStyle w:val="Heading3"/>
      </w:pPr>
      <w:r>
        <w:t xml:space="preserve">Annex I parties</w:t>
      </w:r>
    </w:p>
    <w:p>
      <w:pPr>
        <w:pStyle w:val="SourceCode"/>
      </w:pPr>
      <w:r>
        <w:rPr>
          <w:rStyle w:val="NormalTok"/>
        </w:rPr>
        <w:t xml:space="preserve">Annex_I_emissions_ch4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Annex_I_emissions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(Annex_I_emissions_ch4)[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2018</w:t>
      </w:r>
      <w:r>
        <w:br/>
      </w:r>
      <w:r>
        <w:br/>
      </w:r>
      <w:r>
        <w:rPr>
          <w:rStyle w:val="NormalTok"/>
        </w:rPr>
        <w:t xml:space="preserve">Annex_I_emissions_co2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Annex_I_emissions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(Annex_I_emissions_co2)[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2018</w:t>
      </w:r>
      <w:r>
        <w:br/>
      </w:r>
      <w:r>
        <w:br/>
      </w:r>
      <w:r>
        <w:rPr>
          <w:rStyle w:val="NormalTok"/>
        </w:rPr>
        <w:t xml:space="preserve">Annex_I_emissions_ghg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Annex_I_emissions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"aggregate_ghg"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(Annex_I_emissions_ghg)[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2018</w:t>
      </w:r>
    </w:p>
    <w:bookmarkEnd w:id="27"/>
    <w:bookmarkStart w:id="28" w:name="non-annex-i-parties-2"/>
    <w:p>
      <w:pPr>
        <w:pStyle w:val="Heading3"/>
      </w:pPr>
      <w:r>
        <w:t xml:space="preserve">Non-Annex I parties</w:t>
      </w:r>
    </w:p>
    <w:p>
      <w:pPr>
        <w:pStyle w:val="SourceCode"/>
      </w:pPr>
      <w:r>
        <w:rPr>
          <w:rStyle w:val="NormalTok"/>
        </w:rPr>
        <w:t xml:space="preserve">Non_Annex_I_emissions_ch4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Non_Annex_I_emissions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(Non_Annex_I_emissions_ch4)[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2018</w:t>
      </w:r>
      <w:r>
        <w:br/>
      </w:r>
      <w:r>
        <w:br/>
      </w:r>
      <w:r>
        <w:rPr>
          <w:rStyle w:val="NormalTok"/>
        </w:rPr>
        <w:t xml:space="preserve">Non_Annex_I_emissions_co2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Non_Annex_I_emissions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(Non_Annex_I_emissions_co2)[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2018</w:t>
      </w:r>
      <w:r>
        <w:br/>
      </w:r>
      <w:r>
        <w:br/>
      </w:r>
      <w:r>
        <w:rPr>
          <w:rStyle w:val="NormalTok"/>
        </w:rPr>
        <w:t xml:space="preserve">Non_Annex_I_emissions_ghg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Non_Annex_I_emissions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(Non_Annex_I_emissions_ghg)[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2018</w:t>
      </w:r>
    </w:p>
    <w:bookmarkEnd w:id="28"/>
    <w:bookmarkEnd w:id="29"/>
    <w:bookmarkStart w:id="32" w:name="convert-datasets-to-long"/>
    <w:p>
      <w:pPr>
        <w:pStyle w:val="Heading2"/>
      </w:pPr>
      <w:r>
        <w:t xml:space="preserve">Convert datasets to long</w:t>
      </w:r>
    </w:p>
    <w:bookmarkStart w:id="30" w:name="annex-i-parties-3"/>
    <w:p>
      <w:pPr>
        <w:pStyle w:val="Heading3"/>
      </w:pPr>
      <w:r>
        <w:t xml:space="preserve">Annex I parties</w:t>
      </w:r>
    </w:p>
    <w:p>
      <w:pPr>
        <w:pStyle w:val="SourceCode"/>
      </w:pPr>
      <w:r>
        <w:rPr>
          <w:rStyle w:val="NormalTok"/>
        </w:rPr>
        <w:t xml:space="preserve">Annex_I_emissions_ch4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Annex_I_emissions_ch4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(year, ch4, base_year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Annex_I_emissions_co2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Annex_I_emissions_co2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(year, co2, base_year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Annex_I_emissions_ghg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Annex_I_emissions_ghg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(year, ghg, base_year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bookmarkEnd w:id="30"/>
    <w:bookmarkStart w:id="31" w:name="non-annex-i-parties-3"/>
    <w:p>
      <w:pPr>
        <w:pStyle w:val="Heading3"/>
      </w:pPr>
      <w:r>
        <w:t xml:space="preserve">Non-Annex I parties</w:t>
      </w:r>
    </w:p>
    <w:p>
      <w:pPr>
        <w:pStyle w:val="SourceCode"/>
      </w:pPr>
      <w:r>
        <w:rPr>
          <w:rStyle w:val="NormalTok"/>
        </w:rPr>
        <w:t xml:space="preserve">Non_Annex_I_emissions_ch4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Non_Annex_I_emissions_ch4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(year, ch4,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1990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Non_Annex_I_emissions_co2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Non_Annex_I_emissions_co2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(year, co2,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1990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Non_Annex_I_emissions_ghg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Non_Annex_I_emissions_ghg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(year, ghg,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1990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bookmarkEnd w:id="31"/>
    <w:bookmarkEnd w:id="32"/>
    <w:bookmarkStart w:id="35" w:name="merge-datasets-back"/>
    <w:p>
      <w:pPr>
        <w:pStyle w:val="Heading2"/>
      </w:pPr>
      <w:r>
        <w:t xml:space="preserve">Merge datasets back</w:t>
      </w:r>
    </w:p>
    <w:bookmarkStart w:id="33" w:name="annex-i-parties-4"/>
    <w:p>
      <w:pPr>
        <w:pStyle w:val="Heading3"/>
      </w:pPr>
      <w:r>
        <w:t xml:space="preserve">Annex I parties</w:t>
      </w:r>
    </w:p>
    <w:p>
      <w:pPr>
        <w:pStyle w:val="SourceCode"/>
      </w:pPr>
      <w:r>
        <w:rPr>
          <w:rStyle w:val="NormalTok"/>
        </w:rPr>
        <w:t xml:space="preserve">Annex_I_emissions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Annex_I_emissions_ghg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(Annex_I_emissions_co2,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(Annex_I_emissions_ch4,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(Annex_I_emissions_ch4, Annex_I_emissions_co2, Annex_I_emissions_ghg)</w:t>
      </w:r>
    </w:p>
    <w:bookmarkEnd w:id="33"/>
    <w:bookmarkStart w:id="34" w:name="non-annex-i-parties-4"/>
    <w:p>
      <w:pPr>
        <w:pStyle w:val="Heading3"/>
      </w:pPr>
      <w:r>
        <w:t xml:space="preserve">Non-Annex I parties</w:t>
      </w:r>
    </w:p>
    <w:p>
      <w:pPr>
        <w:pStyle w:val="SourceCode"/>
      </w:pPr>
      <w:r>
        <w:rPr>
          <w:rStyle w:val="NormalTok"/>
        </w:rPr>
        <w:t xml:space="preserve">Non_Annex_I_emissions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Non_Annex_I_emissions_ghg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(Non_Annex_I_emissions_co2,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(Non_Annex_I_emissions_ch4,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(Non_Annex_I_emissions_ch4, Non_Annex_I_emissions_co2, </w:t>
      </w:r>
      <w:r>
        <w:br/>
      </w:r>
      <w:r>
        <w:rPr>
          <w:rStyle w:val="NormalTok"/>
        </w:rPr>
        <w:t xml:space="preserve">    Non_Annex_I_emissions_ghg)</w:t>
      </w:r>
    </w:p>
    <w:bookmarkEnd w:id="34"/>
    <w:bookmarkEnd w:id="35"/>
    <w:bookmarkStart w:id="36" w:name="merge-annex-i-and-non-annex-i"/>
    <w:p>
      <w:pPr>
        <w:pStyle w:val="Heading2"/>
      </w:pPr>
      <w:r>
        <w:t xml:space="preserve">Merge Annex I and Non-Annex I</w:t>
      </w:r>
    </w:p>
    <w:p>
      <w:pPr>
        <w:pStyle w:val="SourceCode"/>
      </w:pPr>
      <w:r>
        <w:rPr>
          <w:rStyle w:val="NormalTok"/>
        </w:rPr>
        <w:t xml:space="preserve">UNFCCC_Emissions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(Annex_I_emissions, </w:t>
      </w:r>
      <w:r>
        <w:br/>
      </w:r>
      <w:r>
        <w:rPr>
          <w:rStyle w:val="NormalTok"/>
        </w:rPr>
        <w:t xml:space="preserve">    Non_Annex_I_emissions)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(type,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"Total GHG emissions excluding LULUCF/LUCF"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"Total GHG emissions without LULUCF"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(type,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"Total GHG emissions including LULUCF/LUCF"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"Total GHG emissions with LULUCF"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type_convert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(Annex_I_emissions, Non_Annex_I_emissions)</w:t>
      </w:r>
    </w:p>
    <w:bookmarkEnd w:id="36"/>
    <w:bookmarkStart w:id="37" w:name="export-as-a-csv-file"/>
    <w:p>
      <w:pPr>
        <w:pStyle w:val="Heading2"/>
      </w:pPr>
      <w:r>
        <w:t xml:space="preserve">Export as a CSV file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(UNFCCC_Emissions, </w:t>
      </w:r>
      <w:r>
        <w:rPr>
          <w:rStyle w:val="StringTok"/>
        </w:rPr>
        <w:t xml:space="preserve">"UNFCCC-Emissions-clean.csv"</w:t>
      </w:r>
      <w:r>
        <w:rPr>
          <w:rStyle w:val="NormalTok"/>
        </w:rPr>
        <w:t xml:space="preserve">)</w:t>
      </w:r>
    </w:p>
    <w:bookmarkEnd w:id="37"/>
    <w:bookmarkStart w:id="38" w:name="export-as-an-r-script-for-future-use"/>
    <w:p>
      <w:pPr>
        <w:pStyle w:val="Heading2"/>
      </w:pPr>
      <w:r>
        <w:t xml:space="preserve">Export as an R script for future use</w:t>
      </w:r>
    </w:p>
    <w:p>
      <w:pPr>
        <w:pStyle w:val="FirstParagraph"/>
      </w:pPr>
      <w:r>
        <w:t xml:space="preserve">Only run this chunk manually once within the .Rmd file. It produces an error when knitting it as a whole because of chunk label duplicates. As of April 05, 2021, there hasn’t been a viable solution to run the code below when as part of the knitting process.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"UNFCCC-Emissions.Rmd"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"UNFCCC-Emissions-clean.R"</w:t>
      </w:r>
      <w:r>
        <w:rPr>
          <w:rStyle w:val="NormalTok"/>
        </w:rPr>
        <w:t xml:space="preserve">)</w:t>
      </w:r>
    </w:p>
    <w:bookmarkEnd w:id="38"/>
    <w:bookmarkEnd w:id="39"/>
    <w:sectPr w:rsidR="00D83CE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CC0F2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1FA2E58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67C052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E024412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9CD6453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BF6DF7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64A959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912B2E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754FB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F3A314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3772BFA"/>
    <w:multiLevelType w:val="multilevel"/>
    <w:tmpl w:val="08E217F8"/>
    <w:styleLink w:val="Defaultol"/>
    <w:lvl w:ilvl="0">
      <w:start w:val="1"/>
      <w:numFmt w:val="decimal"/>
      <w:lvlText w:val="%1."/>
      <w:lvlJc w:val="left"/>
      <w:pPr>
        <w:ind w:hanging="360" w:left="360"/>
      </w:pPr>
      <w:rPr>
        <w:rFonts w:asciiTheme="majorBidi" w:hAnsiTheme="majorBidi" w:hint="default"/>
        <w:sz w:val="24"/>
      </w:rPr>
    </w:lvl>
    <w:lvl w:ilvl="1">
      <w:start w:val="1"/>
      <w:numFmt w:val="lowerLetter"/>
      <w:lvlText w:val="%2.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1">
    <w:nsid w:val="19365121"/>
    <w:multiLevelType w:val="multilevel"/>
    <w:tmpl w:val="FEFE1AEC"/>
    <w:numStyleLink w:val="Defaultul"/>
  </w:abstractNum>
  <w:abstractNum w15:restartNumberingAfterBreak="0" w:abstractNumId="12">
    <w:nsid w:val="1BDF74B5"/>
    <w:multiLevelType w:val="multilevel"/>
    <w:tmpl w:val="FEFE1AEC"/>
    <w:numStyleLink w:val="Defaultul"/>
  </w:abstractNum>
  <w:abstractNum w15:restartNumberingAfterBreak="0" w:abstractNumId="13">
    <w:nsid w:val="2C1AE401"/>
    <w:multiLevelType w:val="multilevel"/>
    <w:tmpl w:val="52BEA9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6699C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303E7E5D"/>
    <w:multiLevelType w:val="multilevel"/>
    <w:tmpl w:val="FEFE1AEC"/>
    <w:styleLink w:val="Defaultul"/>
    <w:lvl w:ilvl="0">
      <w:start w:val="1"/>
      <w:numFmt w:val="bullet"/>
      <w:lvlText w:val=""/>
      <w:lvlJc w:val="left"/>
      <w:pPr>
        <w:ind w:hanging="360" w:left="360"/>
      </w:pPr>
      <w:rPr>
        <w:rFonts w:ascii="Symbol" w:cs="Times New Roman" w:hAnsi="Symbol" w:hint="default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ind w:hanging="360" w:left="720"/>
      </w:pPr>
      <w:rPr>
        <w:rFonts w:ascii="Symbol" w:cs="Times New Roman" w:hAnsi="Symbol" w:hint="default"/>
        <w:color w:val="auto"/>
        <w:szCs w:val="24"/>
      </w:rPr>
    </w:lvl>
    <w:lvl w:ilvl="2">
      <w:start w:val="1"/>
      <w:numFmt w:val="bullet"/>
      <w:lvlText w:val=""/>
      <w:lvlJc w:val="left"/>
      <w:pPr>
        <w:ind w:hanging="360" w:left="1080"/>
      </w:pPr>
      <w:rPr>
        <w:rFonts w:ascii="Symbol" w:cs="Symbol" w:hAnsi="Symbol" w:hint="default"/>
        <w:color w:val="auto"/>
        <w:szCs w:val="24"/>
      </w:rPr>
    </w:lvl>
    <w:lvl w:ilvl="3">
      <w:start w:val="1"/>
      <w:numFmt w:val="bullet"/>
      <w:lvlText w:val="•"/>
      <w:lvlJc w:val="left"/>
      <w:pPr>
        <w:ind w:hanging="360" w:left="1440"/>
      </w:pPr>
      <w:rPr>
        <w:rFonts w:ascii="Times New Roman" w:cs="Times New Roman" w:hAnsi="Times New Roman" w:hint="default"/>
        <w:color w:val="auto"/>
        <w:szCs w:val="40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6">
    <w:nsid w:val="30CC3BEF"/>
    <w:multiLevelType w:val="multilevel"/>
    <w:tmpl w:val="08E217F8"/>
    <w:numStyleLink w:val="Defaultol"/>
  </w:abstractNum>
  <w:abstractNum w15:restartNumberingAfterBreak="0" w:abstractNumId="17">
    <w:nsid w:val="3F961AD8"/>
    <w:multiLevelType w:val="multilevel"/>
    <w:tmpl w:val="FEFE1AEC"/>
    <w:numStyleLink w:val="Defaultul"/>
  </w:abstractNum>
  <w:abstractNum w15:restartNumberingAfterBreak="0" w:abstractNumId="18">
    <w:nsid w:val="46B6737A"/>
    <w:multiLevelType w:val="multilevel"/>
    <w:tmpl w:val="08E217F8"/>
    <w:numStyleLink w:val="Defaultol"/>
  </w:abstractNum>
  <w:abstractNum w15:restartNumberingAfterBreak="0" w:abstractNumId="19">
    <w:nsid w:val="56762679"/>
    <w:multiLevelType w:val="multilevel"/>
    <w:tmpl w:val="08E217F8"/>
    <w:numStyleLink w:val="Defaultol"/>
  </w:abstractNum>
  <w:abstractNum w15:restartNumberingAfterBreak="0" w:abstractNumId="20">
    <w:nsid w:val="5BF80CB4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9"/>
  </w:num>
  <w:num w:numId="14">
    <w:abstractNumId w:val="14"/>
  </w:num>
  <w:num w:numId="15">
    <w:abstractNumId w:val="15"/>
  </w:num>
  <w:num w:numId="16">
    <w:abstractNumId w:val="12"/>
  </w:num>
  <w:num w:numId="17">
    <w:abstractNumId w:val="16"/>
  </w:num>
  <w:num w:numId="18">
    <w:abstractNumId w:val="17"/>
  </w:num>
  <w:num w:numId="19">
    <w:abstractNumId w:val="11"/>
  </w:num>
  <w:num w:numId="20">
    <w:abstractNumId w:val="18"/>
  </w:num>
  <w:num w:numId="21">
    <w:abstractNumId w:val="2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2CA2"/>
    <w:rPr>
      <w:rFonts w:asciiTheme="majorBidi" w:hAnsiTheme="majorBidi"/>
    </w:rPr>
  </w:style>
  <w:style w:styleId="Heading1" w:type="paragraph">
    <w:name w:val="heading 1"/>
    <w:basedOn w:val="Normal"/>
    <w:next w:val="BodyText"/>
    <w:autoRedefine/>
    <w:uiPriority w:val="9"/>
    <w:qFormat/>
    <w:rsid w:val="006236C6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 w:val="32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6236C6"/>
    <w:pPr>
      <w:keepNext/>
      <w:keepLines/>
      <w:spacing w:after="0" w:before="200" w:line="480" w:lineRule="auto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EB3736"/>
    <w:pPr>
      <w:keepNext/>
      <w:keepLines/>
      <w:spacing w:after="0" w:before="200" w:line="480" w:lineRule="auto"/>
      <w:outlineLvl w:val="2"/>
    </w:pPr>
    <w:rPr>
      <w:rFonts w:cstheme="majorBidi" w:eastAsiaTheme="majorEastAsia"/>
      <w:bCs/>
      <w:i/>
    </w:rPr>
  </w:style>
  <w:style w:styleId="Heading4" w:type="paragraph">
    <w:name w:val="heading 4"/>
    <w:basedOn w:val="Normal"/>
    <w:next w:val="BodyText"/>
    <w:autoRedefine/>
    <w:uiPriority w:val="9"/>
    <w:unhideWhenUsed/>
    <w:qFormat/>
    <w:rsid w:val="00EB3736"/>
    <w:pPr>
      <w:keepNext/>
      <w:keepLines/>
      <w:spacing w:after="0" w:before="200" w:line="480" w:lineRule="auto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B3736"/>
    <w:pPr>
      <w:keepNext/>
      <w:keepLines/>
      <w:spacing w:after="0" w:before="200" w:line="480" w:lineRule="auto"/>
      <w:outlineLvl w:val="4"/>
    </w:pPr>
    <w:rPr>
      <w:rFonts w:cstheme="majorBidi" w:eastAsiaTheme="majorEastAsia"/>
      <w:iCs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EB3736"/>
    <w:pPr>
      <w:keepNext/>
      <w:keepLines/>
      <w:spacing w:after="0" w:before="200" w:line="480" w:lineRule="auto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AC77E8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AC77E8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AC77E8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6236C6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autoRedefine/>
    <w:qFormat/>
    <w:rsid w:val="004C125E"/>
  </w:style>
  <w:style w:customStyle="1" w:styleId="Compact" w:type="paragraph">
    <w:name w:val="Compact"/>
    <w:basedOn w:val="BodyText"/>
    <w:qFormat/>
    <w:rsid w:val="001335B7"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582CA2"/>
    <w:pPr>
      <w:keepNext/>
      <w:keepLines/>
      <w:spacing w:after="240" w:before="480" w:line="480" w:lineRule="auto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B3736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autoRedefine/>
    <w:qFormat/>
    <w:rsid w:val="006236C6"/>
    <w:pPr>
      <w:keepNext/>
      <w:keepLines/>
      <w:spacing w:line="480" w:lineRule="auto"/>
      <w:jc w:val="center"/>
    </w:pPr>
    <w:rPr>
      <w:rFonts w:asciiTheme="majorBidi" w:hAnsiTheme="majorBidi"/>
    </w:rPr>
  </w:style>
  <w:style w:styleId="Date" w:type="paragraph">
    <w:name w:val="Date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customStyle="1" w:styleId="Abstract" w:type="paragraph">
    <w:name w:val="Abstract"/>
    <w:basedOn w:val="Normal"/>
    <w:next w:val="BodyText"/>
    <w:autoRedefine/>
    <w:qFormat/>
    <w:rsid w:val="00AC77E8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autoRedefine/>
    <w:qFormat/>
    <w:rsid w:val="006F2D1F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BA71D5"/>
    <w:pPr>
      <w:ind w:hanging="144" w:left="144"/>
    </w:pPr>
    <w:rPr>
      <w:sz w:val="22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8250DC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250DC"/>
    <w:rPr>
      <w:rFonts w:asciiTheme="majorBidi" w:hAnsiTheme="majorBidi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  <w:rPr>
      <w:rFonts w:asciiTheme="majorBidi" w:hAnsiTheme="majorBidi"/>
    </w:rPr>
  </w:style>
  <w:style w:styleId="FootnoteReference" w:type="character">
    <w:name w:val="footnote reference"/>
    <w:basedOn w:val="CaptionChar"/>
    <w:rPr>
      <w:rFonts w:asciiTheme="majorBidi" w:hAnsiTheme="majorBidi"/>
      <w:vertAlign w:val="superscript"/>
    </w:rPr>
  </w:style>
  <w:style w:styleId="Hyperlink" w:type="character">
    <w:name w:val="Hyperlink"/>
    <w:basedOn w:val="CaptionChar"/>
    <w:rsid w:val="006236C6"/>
    <w:rPr>
      <w:rFonts w:asciiTheme="majorBidi" w:hAnsiTheme="majorBidi"/>
      <w:color w:themeColor="accent1" w:val="4F81BD"/>
      <w:sz w:val="24"/>
    </w:rPr>
  </w:style>
  <w:style w:styleId="TOCHeading" w:type="paragraph">
    <w:name w:val="TOC Heading"/>
    <w:basedOn w:val="Heading1"/>
    <w:next w:val="BodyText"/>
    <w:autoRedefine/>
    <w:uiPriority w:val="39"/>
    <w:unhideWhenUsed/>
    <w:qFormat/>
    <w:rsid w:val="00930CE3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236C6"/>
    <w:rPr>
      <w:rFonts w:asciiTheme="majorBidi" w:hAnsiTheme="majorBidi"/>
    </w:rPr>
  </w:style>
  <w:style w:customStyle="1" w:styleId="Defaultol" w:type="numbering">
    <w:name w:val="Default ol"/>
    <w:uiPriority w:val="99"/>
    <w:rsid w:val="00ED400D"/>
    <w:pPr>
      <w:numPr>
        <w:numId w:val="12"/>
      </w:numPr>
    </w:pPr>
  </w:style>
  <w:style w:customStyle="1" w:styleId="Defaultul" w:type="numbering">
    <w:name w:val="Default ul"/>
    <w:uiPriority w:val="99"/>
    <w:rsid w:val="00ED400D"/>
    <w:pPr>
      <w:numPr>
        <w:numId w:val="15"/>
      </w:numPr>
    </w:pPr>
  </w:style>
  <w:style w:styleId="List" w:type="paragraph">
    <w:name w:val="List"/>
    <w:basedOn w:val="Normal"/>
    <w:unhideWhenUsed/>
    <w:rsid w:val="00B01CA8"/>
    <w:pPr>
      <w:ind w:hanging="360" w:left="360"/>
      <w:contextualSpacing/>
    </w:pPr>
  </w:style>
  <w:style w:styleId="EndnoteReference" w:type="character">
    <w:name w:val="endnote reference"/>
    <w:basedOn w:val="DefaultParagraphFont"/>
    <w:semiHidden/>
    <w:unhideWhenUsed/>
    <w:rsid w:val="003E1BB0"/>
    <w:rPr>
      <w:rFonts w:asciiTheme="majorBidi" w:hAnsiTheme="majorBidi"/>
      <w:vertAlign w:val="superscript"/>
    </w:rPr>
  </w:style>
  <w:style w:styleId="EndnoteText" w:type="paragraph">
    <w:name w:val="endnote text"/>
    <w:basedOn w:val="Normal"/>
    <w:link w:val="EndnoteTextChar"/>
    <w:semiHidden/>
    <w:unhideWhenUsed/>
    <w:rsid w:val="00BA71D5"/>
    <w:pPr>
      <w:spacing w:after="0"/>
    </w:pPr>
    <w:rPr>
      <w:sz w:val="22"/>
      <w:szCs w:val="20"/>
    </w:rPr>
  </w:style>
  <w:style w:customStyle="1" w:styleId="EndnoteTextChar" w:type="character">
    <w:name w:val="Endnote Text Char"/>
    <w:basedOn w:val="DefaultParagraphFont"/>
    <w:link w:val="EndnoteText"/>
    <w:semiHidden/>
    <w:rsid w:val="00BA71D5"/>
    <w:rPr>
      <w:rFonts w:asciiTheme="majorBidi" w:hAnsiTheme="majorBidi"/>
      <w:sz w:val="22"/>
      <w:szCs w:val="20"/>
    </w:rPr>
  </w:style>
  <w:style w:customStyle="1" w:styleId="DefaultTable" w:type="table">
    <w:name w:val="Default Table"/>
    <w:basedOn w:val="Table"/>
    <w:uiPriority w:val="99"/>
    <w:rsid w:val="00582CA2"/>
    <w:pPr>
      <w:spacing w:line="360" w:lineRule="auto"/>
    </w:pPr>
    <w:rPr>
      <w:rFonts w:asciiTheme="majorBidi" w:hAnsiTheme="majorBidi"/>
      <w:szCs w:val="20"/>
    </w:rPr>
    <w:tblPr>
      <w:tblBorders>
        <w:bottom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pPr>
        <w:wordWrap/>
        <w:spacing w:line="360" w:lineRule="auto"/>
        <w:jc w:val="left"/>
      </w:pPr>
      <w:rPr>
        <w:rFonts w:asciiTheme="majorBidi" w:hAnsiTheme="majorBidi"/>
        <w:b/>
        <w:bCs/>
        <w:sz w:val="24"/>
      </w:rPr>
      <w:tblPr/>
      <w:tcPr>
        <w:tcBorders>
          <w:top w:val="nil"/>
          <w:left w:val="nil"/>
          <w:bottom w:color="auto" w:space="0" w:sz="4" w:val="double"/>
          <w:right w:val="nil"/>
          <w:insideH w:val="nil"/>
          <w:insideV w:val="nil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  <w:bottom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2" w:type="table">
    <w:name w:val="Plain Table 2"/>
    <w:basedOn w:val="TableNormal"/>
    <w:rsid w:val="000C286D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Importing and Wrangling</dc:title>
  <dc:creator/>
  <cp:keywords/>
  <dcterms:created xsi:type="dcterms:W3CDTF">2021-04-05T18:04:29Z</dcterms:created>
  <dcterms:modified xsi:type="dcterms:W3CDTF">2021-04-05T18:04:29Z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05, 2021</vt:lpwstr>
  </property>
  <property fmtid="{D5CDD505-2E9C-101B-9397-08002B2CF9AE}" pid="3" name="output">
    <vt:lpwstr/>
  </property>
</Properties>
</file>