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8.png" ContentType="image/png"/>
  <Override PartName="/word/media/rId32.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Optimization</w:t>
      </w:r>
      <w:r>
        <w:t xml:space="preserve"> </w:t>
      </w:r>
      <w:r>
        <w:t xml:space="preserve">of</w:t>
      </w:r>
      <w:r>
        <w:t xml:space="preserve"> </w:t>
      </w:r>
      <w:r>
        <w:t xml:space="preserve">solid</w:t>
      </w:r>
      <w:r>
        <w:t xml:space="preserve"> </w:t>
      </w:r>
      <w:r>
        <w:t xml:space="preserve">waste</w:t>
      </w:r>
      <w:r>
        <w:t xml:space="preserve"> </w:t>
      </w:r>
      <w:r>
        <w:t xml:space="preserve">in</w:t>
      </w:r>
      <w:r>
        <w:t xml:space="preserve"> </w:t>
      </w:r>
      <w:r>
        <w:t xml:space="preserve">Blantyre,</w:t>
      </w:r>
      <w:r>
        <w:t xml:space="preserve"> </w:t>
      </w:r>
      <w:r>
        <w:t xml:space="preserve">Malawi</w:t>
      </w:r>
    </w:p>
    <w:p>
      <w:pPr>
        <w:pStyle w:val="Author"/>
      </w:pPr>
      <w:r>
        <w:t xml:space="preserve">Nicolas</w:t>
      </w:r>
      <w:r>
        <w:t xml:space="preserve"> </w:t>
      </w:r>
      <w:r>
        <w:t xml:space="preserve">Seemann-Ricard</w:t>
      </w:r>
    </w:p>
    <w:bookmarkStart w:id="20" w:name="abstract"/>
    <w:p>
      <w:pPr>
        <w:pStyle w:val="Heading1"/>
      </w:pPr>
      <w:r>
        <w:t xml:space="preserve">Abstract</w:t>
      </w:r>
    </w:p>
    <w:bookmarkEnd w:id="20"/>
    <w:bookmarkStart w:id="22" w:name="introduction"/>
    <w:p>
      <w:pPr>
        <w:pStyle w:val="Heading1"/>
      </w:pPr>
      <w:r>
        <w:t xml:space="preserve">Introduction</w:t>
      </w:r>
    </w:p>
    <w:p>
      <w:pPr>
        <w:pStyle w:val="FirstParagraph"/>
      </w:pPr>
      <w:r>
        <w:t xml:space="preserve">The project seeks to minimize the costs of operation of the municipal solid waste management service in Blantyre Malawi.</w:t>
      </w:r>
    </w:p>
    <w:bookmarkStart w:id="21" w:name="justification-and-research-questions"/>
    <w:p>
      <w:pPr>
        <w:pStyle w:val="Heading2"/>
      </w:pPr>
      <w:r>
        <w:t xml:space="preserve">Justification and Research Questions</w:t>
      </w:r>
    </w:p>
    <w:p>
      <w:pPr>
        <w:numPr>
          <w:ilvl w:val="0"/>
          <w:numId w:val="1001"/>
        </w:numPr>
        <w:pStyle w:val="Compact"/>
      </w:pPr>
      <w:r>
        <w:t xml:space="preserve">How can we model with limited data</w:t>
      </w:r>
    </w:p>
    <w:p>
      <w:pPr>
        <w:numPr>
          <w:ilvl w:val="0"/>
          <w:numId w:val="1001"/>
        </w:numPr>
        <w:pStyle w:val="Compact"/>
      </w:pPr>
      <w:r>
        <w:t xml:space="preserve">How many trucks are needed to service all skips? What would be the mileage and cost of servicing all skips without overflow?</w:t>
      </w:r>
    </w:p>
    <w:p>
      <w:pPr>
        <w:numPr>
          <w:ilvl w:val="0"/>
          <w:numId w:val="1001"/>
        </w:numPr>
        <w:pStyle w:val="Compact"/>
      </w:pPr>
      <w:r>
        <w:t xml:space="preserve">What routing schedule?</w:t>
      </w:r>
    </w:p>
    <w:bookmarkEnd w:id="21"/>
    <w:bookmarkEnd w:id="22"/>
    <w:bookmarkStart w:id="43" w:name="data-analysis"/>
    <w:p>
      <w:pPr>
        <w:pStyle w:val="Heading1"/>
      </w:pPr>
      <w:r>
        <w:t xml:space="preserve">Data analysis</w:t>
      </w:r>
    </w:p>
    <w:p>
      <w:pPr>
        <w:pStyle w:val="FirstParagraph"/>
      </w:pPr>
      <w:r>
        <w:t xml:space="preserve">In order to formulate feasible and pertinent recommendations, parameters reflecting the situation need to be calculated. Specifically, the rate at which bins are filling, so as to know the frequency at which they need to be emptied.</w:t>
      </w:r>
    </w:p>
    <w:bookmarkStart w:id="42" w:name="provided-data"/>
    <w:p>
      <w:pPr>
        <w:pStyle w:val="Heading2"/>
      </w:pPr>
      <w:r>
        <w:t xml:space="preserve">Provided data</w:t>
      </w:r>
    </w:p>
    <w:bookmarkStart w:id="23" w:name="set-of-skips"/>
    <w:p>
      <w:pPr>
        <w:pStyle w:val="Heading3"/>
      </w:pPr>
      <w:r>
        <w:t xml:space="preserve">Set of skips</w:t>
      </w:r>
    </w:p>
    <w:bookmarkEnd w:id="23"/>
    <w:bookmarkStart w:id="40" w:name="skips-filling-data"/>
    <w:p>
      <w:pPr>
        <w:pStyle w:val="Heading3"/>
      </w:pPr>
      <w:r>
        <w:t xml:space="preserve">Skips filling data</w:t>
      </w:r>
    </w:p>
    <w:p>
      <w:pPr>
        <w:pStyle w:val="FirstParagraph"/>
      </w:pPr>
      <w:r>
        <w:t xml:space="preserve">Filling data for a number of skips is provided. Over a certain period of time (depending on the skip), a measurement on a scale from 1-5 was taken visually every day (generally). A score between 0 and 4 indicate the estimated fullness of the skip, while a 5 means the skip was overflowing. Three of these are shown below: alsdkjf</w:t>
      </w:r>
    </w:p>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27" w:name="fig-Naizi_inorganic_1_raw"/>
                <w:p>
                  <w:pPr>
                    <w:pStyle w:val="Figure"/>
                    <w:jc w:val="center"/>
                    <w:jc w:val="center"/>
                  </w:pPr>
                  <w:r>
                    <w:drawing>
                      <wp:inline>
                        <wp:extent cx="2971800" cy="2228850"/>
                        <wp:effectExtent b="0" l="0" r="0" t="0"/>
                        <wp:docPr descr="" title="" id="25" name="Picture"/>
                        <a:graphic>
                          <a:graphicData uri="http://schemas.openxmlformats.org/drawingml/2006/picture">
                            <pic:pic>
                              <pic:nvPicPr>
                                <pic:cNvPr descr="../../src/Analysis_jupyter/figures/raw/Naizi_inorganic_1_raw.png" id="26" name="Picture"/>
                                <pic:cNvPicPr>
                                  <a:picLocks noChangeArrowheads="1" noChangeAspect="1"/>
                                </pic:cNvPicPr>
                              </pic:nvPicPr>
                              <pic:blipFill>
                                <a:blip r:embed="rId24"/>
                                <a:stretch>
                                  <a:fillRect/>
                                </a:stretch>
                              </pic:blipFill>
                              <pic:spPr bwMode="auto">
                                <a:xfrm>
                                  <a:off x="0" y="0"/>
                                  <a:ext cx="2971800" cy="222885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Naizi inorganic 1</w:t>
                  </w:r>
                </w:p>
                <w:bookmarkEnd w:id="27"/>
              </w:tc>
            </w:tr>
          </w:tbl>
          <w:p/>
        </w:tc>
        <w:tc>
          <w:tcPr/>
          <w:tbl>
            <w:tblPr>
              <w:tblStyle w:val="Table"/>
              <w:tblW w:type="pct" w:w="5000"/>
              <w:tblLook w:firstRow="0" w:lastRow="0" w:firstColumn="0" w:lastColumn="0" w:noHBand="0" w:noVBand="0" w:val="0000"/>
            </w:tblPr>
            <w:tblGrid>
              <w:gridCol w:w="7920"/>
            </w:tblGrid>
            <w:tr>
              <w:tc>
                <w:tcPr/>
                <w:bookmarkStart w:id="31" w:name="fig-Bangwe_inorganic_1_raw"/>
                <w:p>
                  <w:pPr>
                    <w:pStyle w:val="Figure"/>
                    <w:jc w:val="center"/>
                    <w:jc w:val="center"/>
                  </w:pPr>
                  <w:r>
                    <w:drawing>
                      <wp:inline>
                        <wp:extent cx="2971800" cy="2228850"/>
                        <wp:effectExtent b="0" l="0" r="0" t="0"/>
                        <wp:docPr descr="" title="" id="29" name="Picture"/>
                        <a:graphic>
                          <a:graphicData uri="http://schemas.openxmlformats.org/drawingml/2006/picture">
                            <pic:pic>
                              <pic:nvPicPr>
                                <pic:cNvPr descr="../../src/Analysis_jupyter/figures/raw/Bangwe_inorganic_1_raw.png" id="30" name="Picture"/>
                                <pic:cNvPicPr>
                                  <a:picLocks noChangeArrowheads="1" noChangeAspect="1"/>
                                </pic:cNvPicPr>
                              </pic:nvPicPr>
                              <pic:blipFill>
                                <a:blip r:embed="rId28"/>
                                <a:stretch>
                                  <a:fillRect/>
                                </a:stretch>
                              </pic:blipFill>
                              <pic:spPr bwMode="auto">
                                <a:xfrm>
                                  <a:off x="0" y="0"/>
                                  <a:ext cx="2971800" cy="222885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Bangwe inorganic 1</w:t>
                  </w:r>
                </w:p>
                <w:bookmarkEnd w:id="31"/>
              </w:tc>
            </w:tr>
          </w:tbl>
          <w:p/>
        </w:tc>
      </w:tr>
    </w:tbl>
    <w:p>
      <w:pPr>
        <w:framePr w:w="0" w:h="0" w:vAnchor="margin" w:hAnchor="margin" w:xAlign="right" w:yAlign="top"/>
      </w:pPr>
    </w:p>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35" w:name="fig-Chigumula_inorganic_2_raw"/>
                <w:p>
                  <w:pPr>
                    <w:pStyle w:val="Figure"/>
                    <w:jc w:val="center"/>
                    <w:jc w:val="center"/>
                  </w:pPr>
                  <w:r>
                    <w:drawing>
                      <wp:inline>
                        <wp:extent cx="2971800" cy="2228850"/>
                        <wp:effectExtent b="0" l="0" r="0" t="0"/>
                        <wp:docPr descr="" title="" id="33" name="Picture"/>
                        <a:graphic>
                          <a:graphicData uri="http://schemas.openxmlformats.org/drawingml/2006/picture">
                            <pic:pic>
                              <pic:nvPicPr>
                                <pic:cNvPr descr="../../src/Analysis_jupyter/figures/raw/Chigumula_inorganic_2_raw.png" id="34" name="Picture"/>
                                <pic:cNvPicPr>
                                  <a:picLocks noChangeArrowheads="1" noChangeAspect="1"/>
                                </pic:cNvPicPr>
                              </pic:nvPicPr>
                              <pic:blipFill>
                                <a:blip r:embed="rId32"/>
                                <a:stretch>
                                  <a:fillRect/>
                                </a:stretch>
                              </pic:blipFill>
                              <pic:spPr bwMode="auto">
                                <a:xfrm>
                                  <a:off x="0" y="0"/>
                                  <a:ext cx="2971800" cy="222885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(c) Chigumula inorganic 2</w:t>
                  </w:r>
                </w:p>
                <w:bookmarkEnd w:id="35"/>
              </w:tc>
            </w:tr>
          </w:tbl>
          <w:p/>
        </w:tc>
        <w:tc>
          <w:tcPr/>
          <w:tbl>
            <w:tblPr>
              <w:tblStyle w:val="Table"/>
              <w:tblW w:type="pct" w:w="5000"/>
              <w:tblLook w:firstRow="0" w:lastRow="0" w:firstColumn="0" w:lastColumn="0" w:noHBand="0" w:noVBand="0" w:val="0000"/>
            </w:tblPr>
            <w:tblGrid>
              <w:gridCol w:w="7920"/>
            </w:tblGrid>
            <w:tr>
              <w:tc>
                <w:tcPr/>
                <w:bookmarkStart w:id="39" w:name="fig-BCA_inorganic_2_raw"/>
                <w:p>
                  <w:pPr>
                    <w:pStyle w:val="Figure"/>
                    <w:jc w:val="center"/>
                    <w:jc w:val="center"/>
                  </w:pPr>
                  <w:r>
                    <w:drawing>
                      <wp:inline>
                        <wp:extent cx="2971800" cy="2228850"/>
                        <wp:effectExtent b="0" l="0" r="0" t="0"/>
                        <wp:docPr descr="" title="" id="37" name="Picture"/>
                        <a:graphic>
                          <a:graphicData uri="http://schemas.openxmlformats.org/drawingml/2006/picture">
                            <pic:pic>
                              <pic:nvPicPr>
                                <pic:cNvPr descr="../../src/Analysis_jupyter/figures/raw/BCA_inorganic_2_raw.png" id="38" name="Picture"/>
                                <pic:cNvPicPr>
                                  <a:picLocks noChangeArrowheads="1" noChangeAspect="1"/>
                                </pic:cNvPicPr>
                              </pic:nvPicPr>
                              <pic:blipFill>
                                <a:blip r:embed="rId36"/>
                                <a:stretch>
                                  <a:fillRect/>
                                </a:stretch>
                              </pic:blipFill>
                              <pic:spPr bwMode="auto">
                                <a:xfrm>
                                  <a:off x="0" y="0"/>
                                  <a:ext cx="2971800" cy="222885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(d) BCA inorganic 2</w:t>
                  </w:r>
                </w:p>
                <w:bookmarkEnd w:id="39"/>
              </w:tc>
            </w:tr>
          </w:tbl>
          <w:p/>
        </w:tc>
      </w:tr>
    </w:tbl>
    <w:p>
      <w:pPr>
        <w:pStyle w:val="BodyText"/>
      </w:pPr>
      <w:pPr>
        <w:spacing w:before="200"/>
        <w:pStyle w:val="ImageCaption"/>
      </w:pPr>
      <w:r>
        <w:t xml:space="preserve">Figure 1: Types of raw data</w:t>
      </w:r>
    </w:p>
    <w:p>
      <w:pPr>
        <w:pStyle w:val="BodyText"/>
      </w:pPr>
      <w:hyperlink w:anchor="fig-raw">
        <w:r>
          <w:rPr>
            <w:rStyle w:val="Hyperlink"/>
          </w:rPr>
          <w:t xml:space="preserve">Fig. 1</w:t>
        </w:r>
      </w:hyperlink>
      <w:r>
        <w:t xml:space="preserve"> </w:t>
      </w:r>
      <w:r>
        <w:t xml:space="preserve">is good, especially</w:t>
      </w:r>
      <w:r>
        <w:t xml:space="preserve"> </w:t>
      </w:r>
      <w:hyperlink w:anchor="fig-BCA_inorganic_2_raw">
        <w:r>
          <w:rPr>
            <w:rStyle w:val="Hyperlink"/>
          </w:rPr>
          <w:t xml:space="preserve">fig. 1 (d)</w:t>
        </w:r>
      </w:hyperlink>
    </w:p>
    <w:bookmarkEnd w:id="40"/>
    <w:bookmarkStart w:id="41" w:name="mzedi-arrivals"/>
    <w:p>
      <w:pPr>
        <w:pStyle w:val="Heading3"/>
      </w:pPr>
      <w:r>
        <w:t xml:space="preserve">Mzedi arrivals</w:t>
      </w:r>
    </w:p>
    <w:bookmarkEnd w:id="41"/>
    <w:bookmarkEnd w:id="42"/>
    <w:bookmarkEnd w:id="43"/>
    <w:bookmarkStart w:id="44" w:name="model"/>
    <w:p>
      <w:pPr>
        <w:pStyle w:val="Heading1"/>
      </w:pPr>
      <w:r>
        <w:t xml:space="preserve">Model</w:t>
      </w:r>
    </w:p>
    <w:bookmarkEnd w:id="44"/>
    <w:bookmarkStart w:id="45" w:name="model-optimization"/>
    <w:p>
      <w:pPr>
        <w:pStyle w:val="Heading1"/>
      </w:pPr>
      <w:r>
        <w:t xml:space="preserve">Model optimization</w:t>
      </w:r>
    </w:p>
    <w:bookmarkEnd w:id="45"/>
    <w:bookmarkStart w:id="52" w:name="methods"/>
    <w:p>
      <w:pPr>
        <w:pStyle w:val="Heading1"/>
      </w:pPr>
      <w:r>
        <w:t xml:space="preserve">Methods</w:t>
      </w:r>
    </w:p>
    <w:bookmarkStart w:id="46" w:name="site-selection"/>
    <w:p>
      <w:pPr>
        <w:pStyle w:val="Heading2"/>
      </w:pPr>
      <w:r>
        <w:t xml:space="preserve">Site selection</w:t>
      </w:r>
    </w:p>
    <w:bookmarkEnd w:id="46"/>
    <w:bookmarkStart w:id="47" w:name="sample-size"/>
    <w:p>
      <w:pPr>
        <w:pStyle w:val="Heading2"/>
      </w:pPr>
      <w:r>
        <w:t xml:space="preserve">Sample Size</w:t>
      </w:r>
    </w:p>
    <w:bookmarkEnd w:id="47"/>
    <w:bookmarkStart w:id="48" w:name="ethics"/>
    <w:p>
      <w:pPr>
        <w:pStyle w:val="Heading2"/>
      </w:pPr>
      <w:r>
        <w:t xml:space="preserve">Ethics</w:t>
      </w:r>
    </w:p>
    <w:bookmarkEnd w:id="48"/>
    <w:bookmarkStart w:id="51" w:name="experimental-design"/>
    <w:p>
      <w:pPr>
        <w:pStyle w:val="Heading2"/>
      </w:pPr>
      <w:r>
        <w:t xml:space="preserve">Experimental Design</w:t>
      </w:r>
    </w:p>
    <w:bookmarkStart w:id="49" w:name="experiment-1"/>
    <w:p>
      <w:pPr>
        <w:pStyle w:val="Heading3"/>
      </w:pPr>
      <w:r>
        <w:t xml:space="preserve">Experiment 1</w:t>
      </w:r>
    </w:p>
    <w:bookmarkEnd w:id="49"/>
    <w:bookmarkStart w:id="50" w:name="experiment-2"/>
    <w:p>
      <w:pPr>
        <w:pStyle w:val="Heading3"/>
      </w:pPr>
      <w:r>
        <w:t xml:space="preserve">Experiment 2</w:t>
      </w:r>
    </w:p>
    <w:bookmarkEnd w:id="50"/>
    <w:bookmarkEnd w:id="51"/>
    <w:bookmarkEnd w:id="52"/>
    <w:bookmarkStart w:id="57" w:name="results-and-discussion"/>
    <w:p>
      <w:pPr>
        <w:pStyle w:val="Heading1"/>
      </w:pPr>
      <w:r>
        <w:t xml:space="preserve">Results and Discussion</w:t>
      </w:r>
    </w:p>
    <w:bookmarkStart w:id="53" w:name="discussion"/>
    <w:p>
      <w:pPr>
        <w:pStyle w:val="Heading2"/>
      </w:pPr>
      <w:r>
        <w:t xml:space="preserve">Discussion</w:t>
      </w:r>
    </w:p>
    <w:bookmarkEnd w:id="53"/>
    <w:bookmarkStart w:id="54" w:name="tables-and-figures"/>
    <w:p>
      <w:pPr>
        <w:pStyle w:val="Heading2"/>
      </w:pPr>
      <w:r>
        <w:t xml:space="preserve">Tables and Figures</w:t>
      </w:r>
    </w:p>
    <w:bookmarkEnd w:id="54"/>
    <w:bookmarkStart w:id="55" w:name="tables"/>
    <w:p>
      <w:pPr>
        <w:pStyle w:val="Heading2"/>
      </w:pPr>
      <w:r>
        <w:t xml:space="preserve">Tables</w:t>
      </w:r>
    </w:p>
    <w:bookmarkEnd w:id="55"/>
    <w:bookmarkStart w:id="56" w:name="figures"/>
    <w:p>
      <w:pPr>
        <w:pStyle w:val="Heading2"/>
      </w:pPr>
      <w:r>
        <w:t xml:space="preserve">Figures</w:t>
      </w:r>
    </w:p>
    <w:bookmarkEnd w:id="56"/>
    <w:bookmarkEnd w:id="57"/>
    <w:bookmarkStart w:id="58" w:name="conclusions-and-recommendations"/>
    <w:p>
      <w:pPr>
        <w:pStyle w:val="Heading1"/>
      </w:pPr>
      <w:r>
        <w:t xml:space="preserve">Conclusions and Recommendations</w:t>
      </w:r>
    </w:p>
    <w:bookmarkEnd w:id="58"/>
    <w:bookmarkStart w:id="59" w:name="references"/>
    <w:p>
      <w:pPr>
        <w:pStyle w:val="Heading1"/>
      </w:pPr>
      <w:r>
        <w:t xml:space="preserve">References</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Optimization of solid waste in Blantyre, Malawi</dc:title>
  <dc:creator>Nicolas Seemann-Ricard</dc:creator>
  <cp:keywords/>
  <dcterms:created xsi:type="dcterms:W3CDTF">2022-10-05T16:44:59Z</dcterms:created>
  <dcterms:modified xsi:type="dcterms:W3CDTF">2022-10-05T16:44:59Z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rossref">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toc-title">
    <vt:lpwstr>Table of contents</vt:lpwstr>
  </property>
</Properties>
</file>