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zhwpz53ajb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IR Photodiode Drop Detector – Design Notes (Rev A)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ger4taibs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 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supersedes </w:t>
      </w:r>
      <w:r w:rsidDel="00000000" w:rsidR="00000000" w:rsidRPr="00000000">
        <w:rPr>
          <w:b w:val="1"/>
          <w:rtl w:val="0"/>
        </w:rPr>
        <w:t xml:space="preserve">tia_bandwidth_selection.odt</w:t>
      </w:r>
      <w:r w:rsidDel="00000000" w:rsidR="00000000" w:rsidRPr="00000000">
        <w:rPr>
          <w:rtl w:val="0"/>
        </w:rPr>
        <w:t xml:space="preserve"> and captures the up‑to‑date design rationale for the IR beam‑break sensor used to count IV‑line droplets. It consolidates bench measurements taken on 23‑May‑2025 and the schematic/layout now frozen for PCB Rev 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t109uqhd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  Sensor Hardware Overview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7.9425837320573"/>
        <w:gridCol w:w="1841.1483253588517"/>
        <w:gridCol w:w="6050.909090909091"/>
        <w:tblGridChange w:id="0">
          <w:tblGrid>
            <w:gridCol w:w="1467.9425837320573"/>
            <w:gridCol w:w="1841.1483253588517"/>
            <w:gridCol w:w="6050.90909090909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Photodiode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BPV10NF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Ø5 mm epoxy, peak λ ≈ 850 nm, 25 nA dark current @ 25 °C.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Emitter 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VSLY5940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870 nm, 15 mW/sr @ 20 mA, aimed normal to diode.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VMAIN = 3.3 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Shared with MCU &amp; LED driver.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operating modes are supported: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LED on 100 %; droplet produces a 4–7 ms shadow (≈ +350 mV at diode node).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Pulse‑Save</w:t>
      </w:r>
      <w:r w:rsidDel="00000000" w:rsidR="00000000" w:rsidRPr="00000000">
        <w:rPr>
          <w:rtl w:val="0"/>
        </w:rPr>
        <w:t xml:space="preserve"> – LED 150 µs pulses at 8 % duty; droplet suppresses synchronised 100 mV spikes.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z35s95htx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  Analog Front‑End Topology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3V3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─┬─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 kΩ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(pull‑up)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├───▶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V_PD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──┬─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C15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 pF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─┐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LMV331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C16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 pF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─┘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────┤&gt;O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(open‑collector)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(DNP,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10–47 kΩ)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(optional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pull‑down)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 MΩ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(hysteresis)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b w:val="1"/>
          <w:rtl w:val="0"/>
        </w:rPr>
        <w:t xml:space="preserve">Photodiode orientation: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anode → GND, cathode → V_PD. Photocurrent sinks from node, producing lower voltage when the beam is present.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Comparator reference: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R18 = R19 = 100 kΩ → V_REF ≈ 1.65 V (rail/2). LMV331 inputs are valid 0 – ( VCC – 0.7 V ). Keeping V_PD ≤ 2.6 V at 3.3 V supply ensures guaranteed operation.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Hysteresis: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R14 injects ≈ 35 mV of positive feedback, eliminating chatter on slow edges.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qh6inw8hp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Components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9.9041533546324"/>
        <w:gridCol w:w="5327.923322683706"/>
        <w:gridCol w:w="2442.172523961661"/>
        <w:tblGridChange w:id="0">
          <w:tblGrid>
            <w:gridCol w:w="1589.9041533546324"/>
            <w:gridCol w:w="5327.923322683706"/>
            <w:gridCol w:w="2442.17252396166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Populate in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C17</w:t>
            </w:r>
            <w:r w:rsidDel="00000000" w:rsidR="00000000" w:rsidRPr="00000000">
              <w:rPr>
                <w:rtl w:val="0"/>
              </w:rPr>
              <w:t xml:space="preserve"> 2.2 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Long‑time constant integrator; filters out &lt; 50 Hz ripple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  <w:t xml:space="preserve"> only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R17</w:t>
            </w:r>
            <w:r w:rsidDel="00000000" w:rsidR="00000000" w:rsidRPr="00000000">
              <w:rPr>
                <w:rtl w:val="0"/>
              </w:rPr>
              <w:t xml:space="preserve"> see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Pulls node towards ground, reducing bias &amp; common‑mode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needed after bring‑up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n7czly845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  Time‑Constant &amp; Bandwidth Choices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mode: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C17 × R16 ≈ 22 µs → f_c ≈ 7 kHz (suppresses HF noise; settles 99 % in 100 µs ‑ safely below 4 ms drip shadow).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Pulse‑Save mode: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leave C17 open. C15/C16 ( ≈ 100 pF each) with 10 kΩ give τ ≈ 1 µs so the 150 µs LED pulse appears with &gt; 90 % amplitude.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3x8rpr5vc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  Empirical Bench Data (23‑May‑2025)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Setup:</w:t>
      </w:r>
      <w:r w:rsidDel="00000000" w:rsidR="00000000" w:rsidRPr="00000000">
        <w:rPr>
          <w:rtl w:val="0"/>
        </w:rPr>
        <w:t xml:space="preserve"> BPV10NF + 2.7 kΩ to 3.3 V, LED on; CSV captured on Tek scope.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baseline 2.60 V (σ ≈ 6.8 mV); droplet peak 2.97 V → Δ ≈ +365 mV.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SNR ≈ 53 dB; node exceeded VICR spec (► motivation for R17 divider).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z20vgu8gz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  Layout Notes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Comparator, photodiode, R16/R17, C15/16/17 placed within 5 mm cluster to minimise stray C.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 copper (GND) surrounds V_PD trace; comparator output routed on opposite side.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 nF X7R placed &lt; 1 mm from LMV331 VCC pin.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a61co0vm0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  Bring‑Up Checklist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Stuff </w:t>
      </w:r>
      <w:r w:rsidDel="00000000" w:rsidR="00000000" w:rsidRPr="00000000">
        <w:rPr>
          <w:b w:val="1"/>
          <w:rtl w:val="0"/>
        </w:rPr>
        <w:t xml:space="preserve">R16 = 10 kΩ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R17 not fitted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C17 not fitted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Apply 3.3 V, LED continuous: verify V_PD ≈ 1.3–1.5 V (beam present).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Interrupt beam: V_PD should climb &lt; 2.3 V; comparator OUT toggles once.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V_PD tops &gt; 2.6 V, fit R17 = 22 kΩ; repeat.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 to 150 µs LED pulsing; ensure ≥ 100 mV spikes cross threshold each cycle.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Finalise R18/R19 to reposition threshold if ambient‑light bias differs.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h3tkbg3j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  Future Iterations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 rail‑to‑rail CMOS comparator (e.g. TLV3701) to remove VICR limit.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solder‑bridge jumper across C17 pads for on‑the‑fly mode switching.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auto‑calibration of threshold using MCU DAC + window comparator.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