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IV Flow‑Meter – IR Emitter Timing Strategy</w:t>
        <w:br w:type="textWrapping"/>
      </w:r>
      <w:r w:rsidDel="00000000" w:rsidR="00000000" w:rsidRPr="00000000">
        <w:rPr>
          <w:i w:val="1"/>
          <w:rtl w:val="0"/>
        </w:rPr>
        <w:t xml:space="preserve">Design report v1 – 25 May 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dtzhjxgc8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a single LED‑pulse schedule that (i) preserves &gt; 95 % detection reliability for </w:t>
      </w:r>
      <w:r w:rsidDel="00000000" w:rsidR="00000000" w:rsidRPr="00000000">
        <w:rPr>
          <w:b w:val="1"/>
          <w:rtl w:val="0"/>
        </w:rPr>
        <w:t xml:space="preserve">adult (20 gtt mL⁻¹), micro‑drip (60 gtt mL⁻¹)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neonatal (100 gtt mL⁻¹)</w:t>
      </w:r>
      <w:r w:rsidDel="00000000" w:rsidR="00000000" w:rsidRPr="00000000">
        <w:rPr>
          <w:rtl w:val="0"/>
        </w:rPr>
        <w:t xml:space="preserve"> sets, and (ii) minimises average current so the device can operate &gt; 360h from one AA cells.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z2er1skxa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 Empirical baseline (adult set)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Oscilloscope captures of 23 May 2025 showed a </w:t>
      </w:r>
      <w:r w:rsidDel="00000000" w:rsidR="00000000" w:rsidRPr="00000000">
        <w:rPr>
          <w:b w:val="1"/>
          <w:rtl w:val="0"/>
        </w:rPr>
        <w:t xml:space="preserve">minimum drop‑shadow length Lₐ = 4.50 ms</w:t>
      </w:r>
      <w:r w:rsidDel="00000000" w:rsidR="00000000" w:rsidRPr="00000000">
        <w:rPr>
          <w:rtl w:val="0"/>
        </w:rPr>
        <w:t xml:space="preserve"> through the adult chamber with continuous LED. A 20 % contingency is reserved for manufacturing spread and temperature: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Lₐ,design = 0.8 × 4.50 ms ≈ 3.60 ms.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cgu7ouhjt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 Scaling to finer drip sets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volume V scales with drop diameter D³, hence the shadow length is proportional to D. Using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8.9481785531043"/>
        <w:gridCol w:w="1964.2072857875835"/>
        <w:gridCol w:w="1704.874294510005"/>
        <w:gridCol w:w="1647.2447408927655"/>
        <w:gridCol w:w="2194.7255002565416"/>
        <w:tblGridChange w:id="0">
          <w:tblGrid>
            <w:gridCol w:w="1848.9481785531043"/>
            <w:gridCol w:w="1964.2072857875835"/>
            <w:gridCol w:w="1704.874294510005"/>
            <w:gridCol w:w="1647.2447408927655"/>
            <w:gridCol w:w="2194.725500256541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Nominal calibration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Volume ratio V/Vₐ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Diameter ratio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Predicted Lmin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 gtt mL⁻¹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3.60 †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Micro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60 gtt mL⁻¹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0.693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0.693 × 3.60 ≈ </w:t>
            </w:r>
            <w:r w:rsidDel="00000000" w:rsidR="00000000" w:rsidRPr="00000000">
              <w:rPr>
                <w:b w:val="1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Neonatal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100 gtt mL⁻¹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0.585 × 3.60 ≈ </w:t>
            </w:r>
            <w:r w:rsidDel="00000000" w:rsidR="00000000" w:rsidRPr="00000000">
              <w:rPr>
                <w:b w:val="1"/>
                <w:rtl w:val="0"/>
              </w:rPr>
              <w:t xml:space="preserve">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† after contingency.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hbeu31qbd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 Pulse‑period selection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“missing‑dip” algorithm to catch every drop, the LED‑ON </w:t>
      </w:r>
      <w:r w:rsidDel="00000000" w:rsidR="00000000" w:rsidRPr="00000000">
        <w:rPr>
          <w:b w:val="1"/>
          <w:rtl w:val="0"/>
        </w:rPr>
        <w:t xml:space="preserve">period P must be shorter than the shortest shadow</w:t>
      </w:r>
      <w:r w:rsidDel="00000000" w:rsidR="00000000" w:rsidRPr="00000000">
        <w:rPr>
          <w:rtl w:val="0"/>
        </w:rPr>
        <w:t xml:space="preserve">. Selecting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= 1.80 ms (≈ 555 Hz)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satisfies P &lt; 2.10 ms with 14 % additional headroom.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n7xjvaji4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 LED‑ON width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front‑end envelope has τ = R·C = 2.7 kΩ × 220 nF ≈ 0.59 ms. A 150 µs burst charges the capacitor to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(i.e. 24 % of full swing ≈ 110 mV), comfortably above the ±70 mV hysteresis even after a 10 % LED‑output loss with ageing or +40 °C.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TON = 150 µs</w:t>
      </w:r>
      <w:r w:rsidDel="00000000" w:rsidR="00000000" w:rsidRPr="00000000">
        <w:rPr>
          <w:rtl w:val="0"/>
        </w:rPr>
        <w:t xml:space="preserve"> (unchanged from adult prototype)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g3pkiisyf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 Power budget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Duty = 150 µs / 1.80 ms ≈ 8.3 %. With IPK = 18 mA: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Average ILED ≈ 1.5 mA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quiescent (comparator + MCU Stop 2) ≈ 65 µA → </w:t>
      </w:r>
      <w:r w:rsidDel="00000000" w:rsidR="00000000" w:rsidRPr="00000000">
        <w:rPr>
          <w:b w:val="1"/>
          <w:rtl w:val="0"/>
        </w:rPr>
        <w:t xml:space="preserve">~1.56 mA overall</w:t>
      </w:r>
      <w:r w:rsidDel="00000000" w:rsidR="00000000" w:rsidRPr="00000000">
        <w:rPr>
          <w:rtl w:val="0"/>
        </w:rPr>
        <w:t xml:space="preserve">, still &gt; 12 × lower than the continuous‑LED V₁ mode.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dt0odhjvo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 Comparator reference ladder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 BOM uses </w:t>
      </w:r>
      <w:r w:rsidDel="00000000" w:rsidR="00000000" w:rsidRPr="00000000">
        <w:rPr>
          <w:b w:val="1"/>
          <w:rtl w:val="0"/>
        </w:rPr>
        <w:t xml:space="preserve">47 kΩ / 47 kΩ</w:t>
      </w:r>
      <w:r w:rsidDel="00000000" w:rsidR="00000000" w:rsidRPr="00000000">
        <w:rPr>
          <w:rtl w:val="0"/>
        </w:rPr>
        <w:t xml:space="preserve"> (1.65 V midpoint, 35 µA). Options: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2.986146741919"/>
        <w:gridCol w:w="970.0974858902002"/>
        <w:gridCol w:w="926.8753206772705"/>
        <w:gridCol w:w="2943.9096972806565"/>
        <w:gridCol w:w="3376.131349409954"/>
        <w:tblGridChange w:id="0">
          <w:tblGrid>
            <w:gridCol w:w="1142.986146741919"/>
            <w:gridCol w:w="970.0974858902002"/>
            <w:gridCol w:w="926.8753206772705"/>
            <w:gridCol w:w="2943.9096972806565"/>
            <w:gridCol w:w="3376.13134940995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Divider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VREF (V)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IDIV (µA)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47 k / 47 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Good noise immunity; proven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Higher static draw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100 k / 100 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Halves divider 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Slightly higher thermal noise; must verify LM393 offset vs RSRC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33 k / 47 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Larger ΔV headroom → could shorten TON to 120 µs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Highest draw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retain </w:t>
      </w:r>
      <w:r w:rsidDel="00000000" w:rsidR="00000000" w:rsidRPr="00000000">
        <w:rPr>
          <w:b w:val="1"/>
          <w:rtl w:val="0"/>
        </w:rPr>
        <w:t xml:space="preserve">47 k / 47 k</w:t>
      </w:r>
      <w:r w:rsidDel="00000000" w:rsidR="00000000" w:rsidRPr="00000000">
        <w:rPr>
          <w:rtl w:val="0"/>
        </w:rPr>
        <w:t xml:space="preserve"> for the first low‑power boards; revisit after micro‑drip testing if a longer headroom proves desirable.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hk08d504s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 Ageing &amp; tolerance allowance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 LED:</w:t>
      </w:r>
      <w:r w:rsidDel="00000000" w:rsidR="00000000" w:rsidRPr="00000000">
        <w:rPr>
          <w:rtl w:val="0"/>
        </w:rPr>
        <w:t xml:space="preserve"> radiant intensity derates ~0.35 % K⁻¹ and ~5 % over 5 kh of operation. Allow 10 % lifetime loss.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Photodiode &amp; RC:</w:t>
      </w:r>
      <w:r w:rsidDel="00000000" w:rsidR="00000000" w:rsidRPr="00000000">
        <w:rPr>
          <w:rtl w:val="0"/>
        </w:rPr>
        <w:t xml:space="preserve"> X7R cap ±15 % over –20…+50 °C. R ±1 %.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Hysteresis:</w:t>
      </w:r>
      <w:r w:rsidDel="00000000" w:rsidR="00000000" w:rsidRPr="00000000">
        <w:rPr>
          <w:rtl w:val="0"/>
        </w:rPr>
        <w:t xml:space="preserve"> present ±70 mV gives ~30 % optical margin at launch, ~18 % at end‑of‑life.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compatible with the 150 µs / 1.80 ms schedule without changing component values.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4005l159o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 Next actions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Firmware</w:t>
      </w:r>
      <w:r w:rsidDel="00000000" w:rsidR="00000000" w:rsidRPr="00000000">
        <w:rPr>
          <w:rtl w:val="0"/>
        </w:rPr>
        <w:t xml:space="preserve"> – implement 150 µs / 1.80 ms scheduler; enable comparator 3 µs after LED ON.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capture</w:t>
      </w:r>
      <w:r w:rsidDel="00000000" w:rsidR="00000000" w:rsidRPr="00000000">
        <w:rPr>
          <w:rtl w:val="0"/>
        </w:rPr>
        <w:t xml:space="preserve"> – acquire oscilloscope traces for 60 gtt mL⁻¹ and 100 gtt mL⁻¹ chambers.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verify ≥ 1 missing‑dip per drop at 25 gtt s⁻¹ (adult) and 40 gtt s⁻¹ (neonatal), across –20 °C…+50 °C.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audit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confirm average draw ≤ 1.6 mA at 3.3 V.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– log results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/data/derived_data/drop_shadow/</w:t>
      </w:r>
      <w:r w:rsidDel="00000000" w:rsidR="00000000" w:rsidRPr="00000000">
        <w:rPr>
          <w:rtl w:val="0"/>
        </w:rPr>
        <w:t xml:space="preserve"> and update test‑plan spreadsheet.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