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jmu399h87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Report — Photodiode IR-Drop-Detector Breadboard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(23 May 2025, DFA, 22 °C, overhead LED lighting)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55lhrv4fm3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 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Validate a simple reverse-biased photodiode stage and choose the </w:t>
      </w:r>
      <w:r w:rsidDel="00000000" w:rsidR="00000000" w:rsidRPr="00000000">
        <w:rPr>
          <w:b w:val="1"/>
          <w:rtl w:val="0"/>
        </w:rPr>
        <w:t xml:space="preserve">bias resistor, AC-coupling constant and comparator hysteresis</w:t>
      </w:r>
      <w:r w:rsidDel="00000000" w:rsidR="00000000" w:rsidRPr="00000000">
        <w:rPr>
          <w:rtl w:val="0"/>
        </w:rPr>
        <w:t xml:space="preserve"> that give reliable detection of IV-drip “shadow” pulses. The data will freeze the analogue front-end values for PCB Rev 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ty6saq1u0y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 Set-up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34.4959999999996"/>
        <w:gridCol w:w="3524.352"/>
        <w:gridCol w:w="2401.152"/>
        <w:tblGridChange w:id="0">
          <w:tblGrid>
            <w:gridCol w:w="3434.4959999999996"/>
            <w:gridCol w:w="3524.352"/>
            <w:gridCol w:w="2401.15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 / 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Photodiode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Vishay </w:t>
            </w:r>
            <w:r w:rsidDel="00000000" w:rsidR="00000000" w:rsidRPr="00000000">
              <w:rPr>
                <w:b w:val="1"/>
                <w:rtl w:val="0"/>
              </w:rPr>
              <w:t xml:space="preserve">BPV10NF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Capacitance 11 pF typ.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LED drive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100 Ω in series, </w:t>
            </w:r>
            <w:r w:rsidDel="00000000" w:rsidR="00000000" w:rsidRPr="00000000">
              <w:rPr>
                <w:b w:val="1"/>
                <w:rtl w:val="0"/>
              </w:rPr>
              <w:t xml:space="preserve">18.8 mA</w:t>
            </w:r>
            <w:r w:rsidDel="00000000" w:rsidR="00000000" w:rsidRPr="00000000">
              <w:rPr>
                <w:rtl w:val="0"/>
              </w:rPr>
              <w:t xml:space="preserve"> forward 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Held constant for all runs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Supply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 V 3 bench supply, &lt;10 mV p-p ripple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Keysight MSOX-3024T, 5 ms/div, 500 mV/div, 1 MSa/s, 1 Mpts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22 °C, overhead LED panels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Phone charger nearby introduced ≈ 5 mV bursts (EMI)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File set†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• 9 waveform CSV for R = 2 k0, 2 k7, 3 k3, 4 k7 Ω (three trials each‡)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 • </w:t>
            </w:r>
            <w:r w:rsidDel="00000000" w:rsidR="00000000" w:rsidRPr="00000000">
              <w:rPr>
                <w:b w:val="1"/>
                <w:rtl w:val="0"/>
              </w:rPr>
              <w:t xml:space="preserve">bright_R2700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dark_R2700</w:t>
            </w:r>
            <w:r w:rsidDel="00000000" w:rsidR="00000000" w:rsidRPr="00000000">
              <w:rPr>
                <w:rtl w:val="0"/>
              </w:rPr>
              <w:t xml:space="preserve"> reference traces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† All passives 0603; filenames in data/raw_data/2025-05-23_PD_experiment/.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6u38eorwao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 Raw observations (hand-cursor readings)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9.0680100755667"/>
        <w:gridCol w:w="2423.697732997481"/>
        <w:gridCol w:w="2098.337531486146"/>
        <w:gridCol w:w="2027.6070528967257"/>
        <w:gridCol w:w="641.2896725440806"/>
        <w:tblGridChange w:id="0">
          <w:tblGrid>
            <w:gridCol w:w="2169.0680100755667"/>
            <w:gridCol w:w="2423.697732997481"/>
            <w:gridCol w:w="2098.337531486146"/>
            <w:gridCol w:w="2027.6070528967257"/>
            <w:gridCol w:w="641.2896725440806"/>
          </w:tblGrid>
        </w:tblGridChange>
      </w:tblGrid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R&lt;sub&gt;BIAS&lt;/sub&gt; (Ω)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V&lt;sub&gt;baseline&lt;/sub&gt; (V)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V&lt;sub&gt;peak&lt;/sub&gt; (V)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ΔV&lt;sub&gt;pp&lt;/sub&gt; (mV)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10-90 % rise (ms)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2.76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2 700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2.53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2.96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2.9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3 300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2.40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3.04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4 700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2.38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3.16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Ambient-light references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(R = 2 k7):</w:t>
        <w:br w:type="textWrapping"/>
        <w:t xml:space="preserve"> dark pk-pk ≈ 140 mV, bright pk-pk ≈ 160 mV (FFT peaks at 50 Hz &amp; 150 kHz).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xxtzm5m027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 Interpretation &amp; design decisions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6.56"/>
        <w:gridCol w:w="3973.632"/>
        <w:gridCol w:w="3239.808"/>
        <w:tblGridChange w:id="0">
          <w:tblGrid>
            <w:gridCol w:w="2146.56"/>
            <w:gridCol w:w="3973.632"/>
            <w:gridCol w:w="3239.80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 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Calculation / Reasoning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Preliminary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Bias resistor R&lt;sub&gt;B&lt;/sub&gt;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Choose smallest R with ΔV ≥ 0.40 V → </w:t>
            </w:r>
            <w:r w:rsidDel="00000000" w:rsidR="00000000" w:rsidRPr="00000000">
              <w:rPr>
                <w:b w:val="1"/>
                <w:rtl w:val="0"/>
              </w:rPr>
              <w:t xml:space="preserve">2 k7 Ω</w:t>
            </w:r>
            <w:r w:rsidDel="00000000" w:rsidR="00000000" w:rsidRPr="00000000">
              <w:rPr>
                <w:rtl w:val="0"/>
              </w:rPr>
              <w:t xml:space="preserve"> (E24).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 k7 Ω (0603)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Photocurrent I&lt;sub&gt;ON&lt;/sub&gt;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(3.30 V – 2.53 V)/2 k7 ≈ </w:t>
            </w:r>
            <w:r w:rsidDel="00000000" w:rsidR="00000000" w:rsidRPr="00000000">
              <w:rPr>
                <w:b w:val="1"/>
                <w:rtl w:val="0"/>
              </w:rPr>
              <w:t xml:space="preserve">285 µA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AC-coupling 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Require τ ≈ 5 × 2.9 ms ≈ 15 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C&lt;sub&gt;SER&lt;/sub&gt; ≈ 15 ms / 2 k7 ≈ </w:t>
            </w:r>
            <w:r w:rsidDel="00000000" w:rsidR="00000000" w:rsidRPr="00000000">
              <w:rPr>
                <w:b w:val="1"/>
                <w:rtl w:val="0"/>
              </w:rPr>
              <w:t xml:space="preserve">5.6 µF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fit </w:t>
            </w:r>
            <w:r w:rsidDel="00000000" w:rsidR="00000000" w:rsidRPr="00000000">
              <w:rPr>
                <w:b w:val="1"/>
                <w:rtl w:val="0"/>
              </w:rPr>
              <w:t xml:space="preserve">4.7 µF X5R (0805)</w:t>
            </w:r>
            <w:r w:rsidDel="00000000" w:rsidR="00000000" w:rsidRPr="00000000">
              <w:rPr>
                <w:rtl w:val="0"/>
              </w:rPr>
              <w:t xml:space="preserve"> ‖ 100 nF (0603)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Comparator threshold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coupling centres waveform ≈ 1.65 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Divider 47 k / 47 k to 1.65 V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Hysteresis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σ&lt;sub&gt;noise&lt;/sub&gt; (dark) ≈ 12 mVrms → 6σ ≈ 70 mV.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R&lt;sub&gt;HYS&lt;/sub&gt; ≈ 1 MΩ (gives ±70 mV)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Open-collector, 3 V 3, cheap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LM393 (SOIC-8)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 TIA pads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Head-room 2.6 V, I&lt;sub&gt;ON&lt;/sub&gt; 0.285 mA → R&lt;sub&gt;f&lt;/sub&gt; ≈ 9.1 kΩ. BW ≥ 5/2.9 ms ≈ 1.7 kHz → C&lt;sub&gt;f&lt;/sub&gt; ≈ 10 nF.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Footprints only; DNI in Rev A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6iccdz6rgz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 Conclusions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R&lt;sub&gt;B&lt;/sub&gt; = 2 k7 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gives ≥ 0.5 V swing with ample rail head-room and lowest permissible noise.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AC-coupling network 4.7 µF ‖ 100 nF / 2 k7 Ω</w:t>
      </w:r>
      <w:r w:rsidDel="00000000" w:rsidR="00000000" w:rsidRPr="00000000">
        <w:rPr>
          <w:rtl w:val="0"/>
        </w:rPr>
        <w:t xml:space="preserve"> preserves the full 3 ms edge yet resets within 50 ms (for future 5 Hz drip-rate).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hardware comparator</w:t>
      </w:r>
      <w:r w:rsidDel="00000000" w:rsidR="00000000" w:rsidRPr="00000000">
        <w:rPr>
          <w:rtl w:val="0"/>
        </w:rPr>
        <w:t xml:space="preserve"> (LM393) with </w:t>
      </w:r>
      <w:r w:rsidDel="00000000" w:rsidR="00000000" w:rsidRPr="00000000">
        <w:rPr>
          <w:b w:val="1"/>
          <w:rtl w:val="0"/>
        </w:rPr>
        <w:t xml:space="preserve">70 mV hysteresis</w:t>
      </w:r>
      <w:r w:rsidDel="00000000" w:rsidR="00000000" w:rsidRPr="00000000">
        <w:rPr>
          <w:rtl w:val="0"/>
        </w:rPr>
        <w:t xml:space="preserve"> eliminates MCU sampling burden; GPIO interrupt latency no longer matters.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EMI observed from a phone charger indicates that PCB trace pairs to LED and photodiode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must be ≤ 30 mm and routed as a tight differential pair</w:t>
      </w:r>
      <w:r w:rsidDel="00000000" w:rsidR="00000000" w:rsidRPr="00000000">
        <w:rPr>
          <w:rtl w:val="0"/>
        </w:rPr>
        <w:t xml:space="preserve">; series 10 Ω bead or Ferrite optional.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