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Maize</w:t>
      </w:r>
      <w:r>
        <w:t xml:space="preserve"> </w:t>
      </w:r>
      <w:r>
        <w:t xml:space="preserve">Mills</w:t>
      </w:r>
    </w:p>
    <w:p>
      <w:pPr>
        <w:pStyle w:val="Sub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data-exploration"/>
    <w:p>
      <w:pPr>
        <w:pStyle w:val="Heading1"/>
      </w:pPr>
      <w:r>
        <w:t xml:space="preserve">Data Exploration</w:t>
      </w:r>
    </w:p>
    <w:bookmarkStart w:id="20" w:name="plot-overview"/>
    <w:p>
      <w:pPr>
        <w:pStyle w:val="Heading2"/>
      </w:pPr>
      <w:r>
        <w:t xml:space="preserve">Plot: Overview</w:t>
      </w:r>
    </w:p>
    <w:bookmarkEnd w:id="20"/>
    <w:bookmarkStart w:id="24" w:name="plot-daily-24-hour-average-by-date"/>
    <w:p>
      <w:pPr>
        <w:pStyle w:val="Heading2"/>
      </w:pPr>
      <w:r>
        <w:t xml:space="preserve">Plot: Daily 24-hour average by date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41f60e0f8ac8fffd5d758fb6b84a202b023d6da"/>
    <w:p>
      <w:pPr>
        <w:pStyle w:val="Heading2"/>
      </w:pPr>
      <w:r>
        <w:t xml:space="preserve">Plot: Day time vs night time averages (6-18, 18-6)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Xceaeb1e2230d5c99cd11de765a92cd7fb3a8106"/>
    <w:p>
      <w:pPr>
        <w:pStyle w:val="Heading2"/>
      </w:pPr>
      <w:r>
        <w:t xml:space="preserve">Plot: Exposure in hours in categories of hazard</w:t>
      </w:r>
    </w:p>
    <w:bookmarkStart w:id="32" w:name="percent-us-epa"/>
    <w:p>
      <w:pPr>
        <w:pStyle w:val="Heading3"/>
      </w:pPr>
      <w:r>
        <w:t xml:space="preserve">Percent (US EPA)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ercent---who-2021"/>
    <w:p>
      <w:pPr>
        <w:pStyle w:val="Heading3"/>
      </w:pPr>
      <w:r>
        <w:t xml:space="preserve">Percent - WHO 2021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waffle-plot---who-2021-used"/>
    <w:p>
      <w:pPr>
        <w:pStyle w:val="Heading3"/>
      </w:pPr>
      <w:r>
        <w:t xml:space="preserve">Waffle plot - WHO 2021 (used)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bookmarkStart w:id="52" w:name="analysis-of-peaks"/>
    <w:p>
      <w:pPr>
        <w:pStyle w:val="Heading1"/>
      </w:pPr>
      <w:r>
        <w:t xml:space="preserve">Analysis of peaks</w:t>
      </w:r>
    </w:p>
    <w:p>
      <w:pPr>
        <w:pStyle w:val="FirstParagraph"/>
      </w:pPr>
      <w:r>
        <w:t xml:space="preserve">Questions:</w:t>
      </w:r>
    </w:p>
    <w:p>
      <w:pPr>
        <w:numPr>
          <w:ilvl w:val="0"/>
          <w:numId w:val="1001"/>
        </w:numPr>
        <w:pStyle w:val="Compact"/>
      </w:pPr>
      <w:r>
        <w:t xml:space="preserve">What does air quality say about who this effects? Vulnerability</w:t>
      </w:r>
    </w:p>
    <w:p>
      <w:pPr>
        <w:numPr>
          <w:ilvl w:val="0"/>
          <w:numId w:val="1001"/>
        </w:numPr>
        <w:pStyle w:val="Compact"/>
      </w:pPr>
      <w:r>
        <w:t xml:space="preserve">Does the built environment matter? Windows, Operators</w:t>
      </w:r>
    </w:p>
    <w:bookmarkStart w:id="44" w:name="Xd6d3d6450baa9aa26a627af9cb33868ce1c14b9"/>
    <w:p>
      <w:pPr>
        <w:pStyle w:val="Heading2"/>
      </w:pPr>
      <w:r>
        <w:t xml:space="preserve">Table: Peaks over the limit for hazardous ([worldhealthorganization2021who])</w:t>
      </w:r>
    </w:p>
    <w:p>
      <w:pPr>
        <w:numPr>
          <w:ilvl w:val="0"/>
          <w:numId w:val="1002"/>
        </w:numPr>
        <w:pStyle w:val="Compact"/>
      </w:pPr>
      <w:r>
        <w:t xml:space="preserve">Peak for PM2.5: &gt; 35 Greater interim target 1, Annual</w:t>
      </w:r>
    </w:p>
    <w:p>
      <w:pPr>
        <w:numPr>
          <w:ilvl w:val="0"/>
          <w:numId w:val="1002"/>
        </w:numPr>
        <w:pStyle w:val="Compact"/>
      </w:pPr>
      <w:r>
        <w:t xml:space="preserve">Peak for PM10: &gt; 70 Greater interim target 1, Annual</w:t>
      </w:r>
    </w:p>
    <w:p>
      <w:pPr>
        <w:numPr>
          <w:ilvl w:val="0"/>
          <w:numId w:val="1002"/>
        </w:numPr>
        <w:pStyle w:val="Compact"/>
      </w:pPr>
      <w:hyperlink w:anchor="tbl-peak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counts the number of data points (5 minute intervals between them) above these two limits over all days (column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shows the total number of data points)</w:t>
      </w:r>
    </w:p>
    <w:bookmarkStart w:id="43" w:name="tbl-peaks"/>
    <w:p>
      <w:pPr>
        <w:pStyle w:val="TableCaption"/>
      </w:pPr>
      <w:r>
        <w:t xml:space="preserve">Table 1: Number of peaks as defined by WHO 2021 target 1 for pm2.5 and pm10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Number of peaks as defined by WHO 2021 target 1 for pm2.5 and pm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43"/>
    <w:bookmarkEnd w:id="44"/>
    <w:bookmarkStart w:id="48" w:name="plot-overview-as-reference"/>
    <w:p>
      <w:pPr>
        <w:pStyle w:val="Heading2"/>
      </w:pPr>
      <w:r>
        <w:t xml:space="preserve">Plot: Overview (as reference)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1" w:name="detail-into-peak-event"/>
    <w:p>
      <w:pPr>
        <w:pStyle w:val="Heading2"/>
      </w:pPr>
      <w:r>
        <w:t xml:space="preserve">Detail into peak (event)</w:t>
      </w:r>
    </w:p>
    <w:p>
      <w:pPr>
        <w:pStyle w:val="FirstParagraph"/>
      </w:pPr>
      <w:r>
        <w:rPr>
          <w:bCs/>
          <w:b/>
        </w:rPr>
        <w:t xml:space="preserve">Issues</w:t>
      </w:r>
    </w:p>
    <w:p>
      <w:pPr>
        <w:numPr>
          <w:ilvl w:val="0"/>
          <w:numId w:val="1003"/>
        </w:numPr>
        <w:pStyle w:val="Compact"/>
      </w:pPr>
      <w:r>
        <w:t xml:space="preserve">measurements for husk, top, and window not taken at the exact same time</w:t>
      </w:r>
    </w:p>
    <w:p>
      <w:pPr>
        <w:numPr>
          <w:ilvl w:val="0"/>
          <w:numId w:val="1003"/>
        </w:numPr>
        <w:pStyle w:val="Compact"/>
      </w:pPr>
      <w:r>
        <w:t xml:space="preserve">events might be at different times</w:t>
      </w:r>
    </w:p>
    <w:p>
      <w:pPr>
        <w:numPr>
          <w:ilvl w:val="0"/>
          <w:numId w:val="1003"/>
        </w:numPr>
        <w:pStyle w:val="Compact"/>
      </w:pPr>
      <w:r>
        <w:t xml:space="preserve">separate analysis for each indicator and location</w:t>
      </w:r>
    </w:p>
    <w:p>
      <w:pPr>
        <w:pStyle w:val="FirstParagraph"/>
      </w:pPr>
      <w:r>
        <w:rPr>
          <w:bCs/>
          <w:b/>
        </w:rPr>
        <w:t xml:space="preserve">Method for pm10 and pm2.5 and location top</w:t>
      </w:r>
    </w:p>
    <w:p>
      <w:pPr>
        <w:numPr>
          <w:ilvl w:val="0"/>
          <w:numId w:val="1004"/>
        </w:numPr>
        <w:pStyle w:val="Compact"/>
      </w:pPr>
      <w:r>
        <w:t xml:space="preserve">Each time the pm values are above 100, we assume 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happens</w:t>
      </w:r>
    </w:p>
    <w:p>
      <w:pPr>
        <w:numPr>
          <w:ilvl w:val="0"/>
          <w:numId w:val="1004"/>
        </w:numPr>
        <w:pStyle w:val="Compact"/>
      </w:pPr>
      <w:r>
        <w:t xml:space="preserve">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means that the mill is switched on</w:t>
      </w:r>
    </w:p>
    <w:p>
      <w:pPr>
        <w:numPr>
          <w:ilvl w:val="0"/>
          <w:numId w:val="1004"/>
        </w:numPr>
        <w:pStyle w:val="Compact"/>
      </w:pPr>
      <w:r>
        <w:t xml:space="preserve">We number events in increasing order</w:t>
      </w:r>
    </w:p>
    <w:p>
      <w:pPr>
        <w:numPr>
          <w:ilvl w:val="0"/>
          <w:numId w:val="1004"/>
        </w:numPr>
        <w:pStyle w:val="Compact"/>
      </w:pPr>
      <w:r>
        <w:t xml:space="preserve">Then, we take the mean of the values that are above 100 for each event</w:t>
      </w:r>
    </w:p>
    <w:p>
      <w:pPr>
        <w:numPr>
          <w:ilvl w:val="0"/>
          <w:numId w:val="1004"/>
        </w:numPr>
        <w:pStyle w:val="Compact"/>
      </w:pPr>
      <w:r>
        <w:t xml:space="preserve">The number of minutes of exposure are calculated by multiplying each data point with 6 minutes</w:t>
      </w:r>
    </w:p>
    <w:p>
      <w:pPr>
        <w:numPr>
          <w:ilvl w:val="0"/>
          <w:numId w:val="1004"/>
        </w:numPr>
        <w:pStyle w:val="Compact"/>
      </w:pPr>
      <w:r>
        <w:t xml:space="preserve">this is because measurements are taken every 6 minutes</w:t>
      </w:r>
    </w:p>
    <w:bookmarkStart w:id="49" w:name="pm10-location-top"/>
    <w:p>
      <w:pPr>
        <w:pStyle w:val="Heading3"/>
      </w:pPr>
      <w:r>
        <w:t xml:space="preserve">pm10 location top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</w:tbl>
    <w:p>
      <w:pPr>
        <w:pStyle w:val="BodyText"/>
      </w:pPr>
      <w:r>
        <w:t xml:space="preserve">The median event time (milling process) for location top and indicator pm10 is 24 minutes with a median exposure of 439. Following US EPA standards, operators are exposed to pm10 at hazardous concentration for half and hour during every milling process.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49"/>
    <w:bookmarkStart w:id="50" w:name="pm25-location-top"/>
    <w:p>
      <w:pPr>
        <w:pStyle w:val="Heading3"/>
      </w:pPr>
      <w:r>
        <w:t xml:space="preserve">pm25 location top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</w:tbl>
    <w:p>
      <w:pPr>
        <w:pStyle w:val="BodyText"/>
      </w:pPr>
      <w:r>
        <w:t xml:space="preserve">The median event time (milling process) for location top and indicator pm2.5 is 18 minutes with a median exposure of 367. Following US EPA standards, operators are exposed to pm2.5 at hazardous concentration for half and hour during every milling process.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50"/>
    <w:bookmarkEnd w:id="51"/>
    <w:bookmarkEnd w:id="52"/>
    <w:bookmarkStart w:id="63" w:name="appendix"/>
    <w:p>
      <w:pPr>
        <w:pStyle w:val="Heading1"/>
      </w:pPr>
      <w:r>
        <w:t xml:space="preserve">Appendix</w:t>
      </w:r>
    </w:p>
    <w:bookmarkStart w:id="62" w:name="interactive-plots"/>
    <w:p>
      <w:pPr>
        <w:pStyle w:val="Heading2"/>
      </w:pPr>
      <w:r>
        <w:t xml:space="preserve">Interactive Plots</w:t>
      </w:r>
    </w:p>
    <w:p>
      <w:pPr>
        <w:pStyle w:val="FirstParagraph"/>
      </w:pPr>
      <w:r>
        <w:rPr>
          <w:bCs/>
          <w:b/>
        </w:rPr>
        <w:t xml:space="preserve">only viewable in HTML version</w:t>
      </w:r>
    </w:p>
    <w:p>
      <w:pPr>
        <w:pStyle w:val="BodyText"/>
      </w:pPr>
      <w:r>
        <w:rPr>
          <w:bCs/>
          <w:b/>
        </w:rPr>
        <w:t xml:space="preserve">Top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unnamed-chunk-2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Husk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dex_files/figure-docx/unnamed-chunk-3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Window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unnamed-chunk-3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Maize Mills</dc:title>
  <dc:creator/>
  <cp:keywords/>
  <dcterms:created xsi:type="dcterms:W3CDTF">2023-04-25T14:22:10Z</dcterms:created>
  <dcterms:modified xsi:type="dcterms:W3CDTF">2023-04-25T14:22:10Z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Exploratory Data Analysis</vt:lpwstr>
  </property>
  <property fmtid="{D5CDD505-2E9C-101B-9397-08002B2CF9AE}" pid="11" name="toc-title">
    <vt:lpwstr>Table of contents</vt:lpwstr>
  </property>
</Properties>
</file>