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3C7" w:rsidRDefault="00F13C87">
      <w:pPr>
        <w:rPr>
          <w:b/>
          <w:bCs/>
          <w:u w:val="single"/>
        </w:rPr>
      </w:pPr>
      <w:r>
        <w:rPr>
          <w:b/>
          <w:bCs/>
          <w:u w:val="single"/>
        </w:rPr>
        <w:t>Quellenverzeichnis</w:t>
      </w:r>
    </w:p>
    <w:p w:rsidR="00F13C87" w:rsidRDefault="00F13C87">
      <w:pPr>
        <w:rPr>
          <w:u w:val="single"/>
        </w:rPr>
      </w:pPr>
      <w:r>
        <w:rPr>
          <w:u w:val="single"/>
        </w:rPr>
        <w:t>Literaturangaben</w:t>
      </w:r>
    </w:p>
    <w:p w:rsidR="000A5B73" w:rsidRDefault="000A5B73" w:rsidP="009E5777">
      <w:pPr>
        <w:pStyle w:val="Listenabsatz"/>
        <w:numPr>
          <w:ilvl w:val="0"/>
          <w:numId w:val="1"/>
        </w:numPr>
      </w:pPr>
      <w:r>
        <w:t>Brand, U.; Wissen, M. (2011). Sozial-ökologische Krise und imperiale Lebensweise: Zu Krise und Kontinuität kapitalistischer Naturverhältnisse. In: Demirović, A.;</w:t>
      </w:r>
      <w:r w:rsidR="00A81C13">
        <w:t xml:space="preserve"> </w:t>
      </w:r>
      <w:r>
        <w:t>Dück, J.; Becker, F.; Bader, P. (Hrsg.): VielfachKrise im finanzdominierten Kapitalismus, 78-93.</w:t>
      </w:r>
      <w:r w:rsidR="00A81C13">
        <w:t xml:space="preserve"> Hamburg: VSA.</w:t>
      </w:r>
    </w:p>
    <w:p w:rsidR="00414D3D" w:rsidRDefault="00414D3D" w:rsidP="00383A11">
      <w:pPr>
        <w:pStyle w:val="Listenabsatz"/>
        <w:numPr>
          <w:ilvl w:val="0"/>
          <w:numId w:val="1"/>
        </w:numPr>
      </w:pPr>
      <w:r>
        <w:t>British Columbia Assembly of First Nations; First Nations Summit; Union of British Columbia Indian Chiefs (Hrsg.) (2018). Summary Report: Wild Salmon Summit.</w:t>
      </w:r>
    </w:p>
    <w:p w:rsidR="0092691B" w:rsidRDefault="0092691B" w:rsidP="00383A11">
      <w:pPr>
        <w:pStyle w:val="Listenabsatz"/>
        <w:numPr>
          <w:ilvl w:val="0"/>
          <w:numId w:val="1"/>
        </w:numPr>
      </w:pPr>
      <w:r>
        <w:t xml:space="preserve">Chamberlin, </w:t>
      </w:r>
      <w:r w:rsidR="00414D3D">
        <w:t>R</w:t>
      </w:r>
      <w:r>
        <w:t>. (2012). Delay, Deny, &amp; Distract: Musgamagw-Tsawataineuk Experience with the Aquaculture Industry. In: Schreiber, D.; Brattland, C.</w:t>
      </w:r>
      <w:r w:rsidR="00193CE9">
        <w:t xml:space="preserve"> (Hrsg.). Salmon Cultures Indigenous Peoples and the Aquaculture Industry</w:t>
      </w:r>
      <w:r w:rsidR="009E5777">
        <w:t>, 29-36.</w:t>
      </w:r>
      <w:r w:rsidR="00193CE9">
        <w:t xml:space="preserve"> München: </w:t>
      </w:r>
      <w:r w:rsidR="00193CE9" w:rsidRPr="00193CE9">
        <w:t>Rachel Carson Center for Environment and Society</w:t>
      </w:r>
      <w:r w:rsidR="00193CE9">
        <w:t>.</w:t>
      </w:r>
    </w:p>
    <w:p w:rsidR="00651878" w:rsidRDefault="00651878" w:rsidP="00383A11">
      <w:pPr>
        <w:pStyle w:val="Listenabsatz"/>
        <w:numPr>
          <w:ilvl w:val="0"/>
          <w:numId w:val="1"/>
        </w:numPr>
      </w:pPr>
      <w:r>
        <w:t>Curtis, E.S. (1916). The North American Indian. 11. Auflage. Norwood-Mass (USA): Plimpton-Press.</w:t>
      </w:r>
    </w:p>
    <w:p w:rsidR="000A5B73" w:rsidRDefault="000A5B73" w:rsidP="00383A11">
      <w:pPr>
        <w:pStyle w:val="Listenabsatz"/>
        <w:numPr>
          <w:ilvl w:val="0"/>
          <w:numId w:val="1"/>
        </w:numPr>
      </w:pPr>
      <w:r>
        <w:t xml:space="preserve">Dabringer, M. (2009). Konsumieren in lokal-globalen Kontexten: zur Verortung eines sozialen Phänomens. In: SWS Rundschau, 49(1), 6-28. </w:t>
      </w:r>
    </w:p>
    <w:p w:rsidR="00A617E5" w:rsidRDefault="005739BC" w:rsidP="00383A11">
      <w:pPr>
        <w:pStyle w:val="Listenabsatz"/>
        <w:numPr>
          <w:ilvl w:val="0"/>
          <w:numId w:val="1"/>
        </w:numPr>
      </w:pPr>
      <w:r>
        <w:t xml:space="preserve">Naylor, R.L.; </w:t>
      </w:r>
      <w:r w:rsidR="00A617E5" w:rsidRPr="00A617E5">
        <w:t>Eagle, J.</w:t>
      </w:r>
      <w:r>
        <w:t>; Smith, W.L.</w:t>
      </w:r>
      <w:r w:rsidR="00A617E5" w:rsidRPr="00A617E5">
        <w:t xml:space="preserve"> (2003). Salmon Aquaculture in the Pacific Northwest: A Global Industry With Local Impacts. In: </w:t>
      </w:r>
      <w:bookmarkStart w:id="0" w:name="_Hlk31964802"/>
      <w:r w:rsidR="00A617E5" w:rsidRPr="00A617E5">
        <w:t>Environment Science and Policy for Sustainable Development</w:t>
      </w:r>
      <w:bookmarkEnd w:id="0"/>
      <w:r w:rsidR="00A617E5" w:rsidRPr="00A617E5">
        <w:t>, Jahrgang 45, Ausgabe 8, 18-39.</w:t>
      </w:r>
    </w:p>
    <w:p w:rsidR="000A02B2" w:rsidRDefault="000A02B2" w:rsidP="00383A11">
      <w:pPr>
        <w:pStyle w:val="Listenabsatz"/>
        <w:numPr>
          <w:ilvl w:val="0"/>
          <w:numId w:val="1"/>
        </w:numPr>
      </w:pPr>
      <w:r w:rsidRPr="000A02B2">
        <w:t xml:space="preserve">Food and Agriculture Organization of the United Nations (FAO) </w:t>
      </w:r>
      <w:r w:rsidR="000C535E">
        <w:t xml:space="preserve">(Hrsg.) </w:t>
      </w:r>
      <w:r w:rsidRPr="000A02B2">
        <w:t>(20</w:t>
      </w:r>
      <w:r>
        <w:t>19</w:t>
      </w:r>
      <w:r w:rsidRPr="000A02B2">
        <w:t>)</w:t>
      </w:r>
      <w:r>
        <w:t>. Fishery and Aquaculture Statistics. Rom: FAO Fisheries and Aquaculture Department.</w:t>
      </w:r>
    </w:p>
    <w:p w:rsidR="00322060" w:rsidRDefault="00322060" w:rsidP="00383A11">
      <w:pPr>
        <w:pStyle w:val="Listenabsatz"/>
        <w:numPr>
          <w:ilvl w:val="0"/>
          <w:numId w:val="1"/>
        </w:numPr>
      </w:pPr>
      <w:r>
        <w:t>Ford, J.S.; Myers, R.A. (2008). A Global Assessment of Salmon Aquaculture Impacts on Wild Salmonids. In: PLoSBiology, Jahrgang 6, Ausgabe 2, 411-417.</w:t>
      </w:r>
    </w:p>
    <w:p w:rsidR="00FC63D6" w:rsidRDefault="00FC63D6" w:rsidP="00383A11">
      <w:pPr>
        <w:pStyle w:val="Listenabsatz"/>
        <w:numPr>
          <w:ilvl w:val="0"/>
          <w:numId w:val="1"/>
        </w:numPr>
      </w:pPr>
      <w:r>
        <w:t xml:space="preserve">Gende, S.M.; Edwards, R.T.; Willson, M.F.; Wipfli, M.S. (2002). </w:t>
      </w:r>
      <w:bookmarkStart w:id="1" w:name="_Hlk31965101"/>
      <w:r>
        <w:t>Pacific Salmon in Aquatic and Terrestrial Ecosystems</w:t>
      </w:r>
      <w:bookmarkEnd w:id="1"/>
      <w:r>
        <w:t>. In: BioScience, Jahrgang 52, Ausgabe 10, 917-928.</w:t>
      </w:r>
    </w:p>
    <w:p w:rsidR="00C07270" w:rsidRDefault="00C07270" w:rsidP="00383A11">
      <w:pPr>
        <w:pStyle w:val="Listenabsatz"/>
        <w:numPr>
          <w:ilvl w:val="0"/>
          <w:numId w:val="1"/>
        </w:numPr>
      </w:pPr>
      <w:r>
        <w:t>Gerwing, K.; McDaniels, T. (2006). Listening to the Salmon People: Coastal First Nations’ Objectives Regarding Salmon Aquaculture in British Columbia. In: Society and Natural Resources, Ausgabe 19, 259-273.</w:t>
      </w:r>
    </w:p>
    <w:p w:rsidR="00146BDA" w:rsidRDefault="00146BDA" w:rsidP="00383A11">
      <w:pPr>
        <w:pStyle w:val="Listenabsatz"/>
        <w:numPr>
          <w:ilvl w:val="0"/>
          <w:numId w:val="1"/>
        </w:numPr>
      </w:pPr>
      <w:r>
        <w:t xml:space="preserve">Heaslip, R. (2008). </w:t>
      </w:r>
      <w:bookmarkStart w:id="2" w:name="_Hlk31965279"/>
      <w:r>
        <w:t>Monitoring salmon aquaculture waste: The contribution of First Nations’ rights, knowledge, and practices in British Columbia, Canada</w:t>
      </w:r>
      <w:bookmarkEnd w:id="2"/>
      <w:r>
        <w:t xml:space="preserve">. In: </w:t>
      </w:r>
      <w:bookmarkStart w:id="3" w:name="_Hlk31965320"/>
      <w:r>
        <w:t>Marine Policy</w:t>
      </w:r>
      <w:bookmarkEnd w:id="3"/>
      <w:r>
        <w:t>, Ausgabe 32, 988-996.</w:t>
      </w:r>
    </w:p>
    <w:p w:rsidR="00775582" w:rsidRDefault="00E55B1C" w:rsidP="000A5B73">
      <w:pPr>
        <w:pStyle w:val="Listenabsatz"/>
        <w:numPr>
          <w:ilvl w:val="0"/>
          <w:numId w:val="1"/>
        </w:numPr>
      </w:pPr>
      <w:r>
        <w:t xml:space="preserve">Maribus gGmbH (Hrsg.) (2013): </w:t>
      </w:r>
      <w:bookmarkStart w:id="4" w:name="_Hlk31965442"/>
      <w:r>
        <w:t xml:space="preserve">World Ocean Review 2: </w:t>
      </w:r>
      <w:r w:rsidRPr="00E55B1C">
        <w:t>Die Zukunft der Fische –</w:t>
      </w:r>
      <w:r>
        <w:t xml:space="preserve"> </w:t>
      </w:r>
      <w:r w:rsidRPr="00E55B1C">
        <w:t>die Fischerei der Zukunft</w:t>
      </w:r>
      <w:bookmarkEnd w:id="4"/>
      <w:r>
        <w:t>. Hamburg: Mareverlag.</w:t>
      </w:r>
    </w:p>
    <w:p w:rsidR="00A9694E" w:rsidRDefault="00A9694E" w:rsidP="000A5B73">
      <w:pPr>
        <w:pStyle w:val="Listenabsatz"/>
        <w:numPr>
          <w:ilvl w:val="0"/>
          <w:numId w:val="1"/>
        </w:numPr>
      </w:pPr>
      <w:r>
        <w:t>Sapkota, A.; Sapkota, A.R.; Kucharski, M.; Burke, J.; McKenzie, S.; Walker, P.; Lawrence, R. (2008). Aquaculture practices and potential human health risks: Current knowledge and future priorities. In: Environment International, 34/2008, 1</w:t>
      </w:r>
      <w:r w:rsidRPr="00A9694E">
        <w:t>215–1226</w:t>
      </w:r>
      <w:r>
        <w:t>.</w:t>
      </w:r>
    </w:p>
    <w:p w:rsidR="00775582" w:rsidRDefault="00775582" w:rsidP="000A5B73">
      <w:pPr>
        <w:pStyle w:val="Listenabsatz"/>
        <w:numPr>
          <w:ilvl w:val="0"/>
          <w:numId w:val="1"/>
        </w:numPr>
      </w:pPr>
      <w:r>
        <w:t xml:space="preserve">Stadtlander, T. (2018). </w:t>
      </w:r>
      <w:bookmarkStart w:id="5" w:name="_Hlk31965605"/>
      <w:r>
        <w:t>Aquakultur – Produktion von Lebensmitteln im Wasser</w:t>
      </w:r>
      <w:bookmarkEnd w:id="5"/>
      <w:r>
        <w:t xml:space="preserve">. In: </w:t>
      </w:r>
      <w:bookmarkStart w:id="6" w:name="_Hlk31965654"/>
      <w:r>
        <w:t>Umwelt &amp; Gesundheit</w:t>
      </w:r>
      <w:bookmarkEnd w:id="6"/>
      <w:r>
        <w:t>, 2/2018, 52-56.</w:t>
      </w:r>
    </w:p>
    <w:p w:rsidR="007438FE" w:rsidRDefault="00E71622" w:rsidP="00E71622">
      <w:pPr>
        <w:pStyle w:val="Listenabsatz"/>
        <w:numPr>
          <w:ilvl w:val="0"/>
          <w:numId w:val="1"/>
        </w:numPr>
      </w:pPr>
      <w:r>
        <w:t xml:space="preserve">Torrissen; O.; Jones, S.; Asche, F.; Guttormsen, A.; Skilbrei, O.T.; Nilsen, F.; Horsberg, T.E.; Jackson, D. (2013). Salmon lice – impact on wild salmonids and salmon aquaculture. In: </w:t>
      </w:r>
      <w:r w:rsidRPr="00E71622">
        <w:t xml:space="preserve">Journal of Fish Diseases, </w:t>
      </w:r>
      <w:r>
        <w:t xml:space="preserve">Ausgabe </w:t>
      </w:r>
      <w:r w:rsidRPr="00E71622">
        <w:t>36, 171</w:t>
      </w:r>
      <w:r>
        <w:t>-</w:t>
      </w:r>
      <w:r w:rsidRPr="00E71622">
        <w:t>194</w:t>
      </w:r>
      <w:r>
        <w:t>.</w:t>
      </w:r>
    </w:p>
    <w:p w:rsidR="00A617E5" w:rsidRDefault="00A617E5" w:rsidP="00383A11">
      <w:pPr>
        <w:pStyle w:val="Listenabsatz"/>
        <w:numPr>
          <w:ilvl w:val="0"/>
          <w:numId w:val="1"/>
        </w:numPr>
      </w:pPr>
      <w:r>
        <w:t>Volpe, J.P.; Taylor, E.B.; Rimmer, D.W.; Glickman, B.W. (2000). Evidence of Natural Reproduction of Aquaculture-Escaped Atlantic Salmon in a Coastal British Columbia River. In: Conservation Biology, Jahrgang 14, Ausgabe 3, 899-903.</w:t>
      </w:r>
    </w:p>
    <w:p w:rsidR="00A617E5" w:rsidRDefault="00A617E5" w:rsidP="000A5B73"/>
    <w:p w:rsidR="00254FDD" w:rsidRDefault="00254FDD" w:rsidP="000A5B73"/>
    <w:p w:rsidR="00254FDD" w:rsidRPr="000A5B73" w:rsidRDefault="00254FDD" w:rsidP="000A5B73"/>
    <w:p w:rsidR="00F13C87" w:rsidRPr="000A5B73" w:rsidRDefault="00F13C87" w:rsidP="000A5B73">
      <w:r>
        <w:rPr>
          <w:u w:val="single"/>
        </w:rPr>
        <w:lastRenderedPageBreak/>
        <w:t>Internetquellen</w:t>
      </w:r>
    </w:p>
    <w:p w:rsidR="005660C0" w:rsidRDefault="005660C0" w:rsidP="00F13C87">
      <w:pPr>
        <w:pStyle w:val="Listenabsatz"/>
        <w:numPr>
          <w:ilvl w:val="0"/>
          <w:numId w:val="1"/>
        </w:numPr>
      </w:pPr>
      <w:r>
        <w:t xml:space="preserve">APTN National News (2019): </w:t>
      </w:r>
      <w:hyperlink r:id="rId5" w:history="1">
        <w:r w:rsidRPr="008644CD">
          <w:rPr>
            <w:rStyle w:val="Hyperlink"/>
          </w:rPr>
          <w:t>https://aptnnews.ca/2019/11/23/b-c-first-nations-and-salmon-farming-industry-anxious-for-liberals-to-get-back-to-work/</w:t>
        </w:r>
      </w:hyperlink>
      <w:r>
        <w:t xml:space="preserve"> (Zugriff: 13.01.2020)</w:t>
      </w:r>
    </w:p>
    <w:p w:rsidR="00F13C87" w:rsidRDefault="00F13C87" w:rsidP="00383A11">
      <w:pPr>
        <w:pStyle w:val="Listenabsatz"/>
        <w:numPr>
          <w:ilvl w:val="0"/>
          <w:numId w:val="1"/>
        </w:numPr>
      </w:pPr>
      <w:r>
        <w:t xml:space="preserve">Assembly of First Nations (AFN) (ohne Jahr): </w:t>
      </w:r>
      <w:hyperlink r:id="rId6" w:history="1">
        <w:r w:rsidRPr="001D0419">
          <w:rPr>
            <w:rStyle w:val="Hyperlink"/>
          </w:rPr>
          <w:t>http://www.afn.ca/about-afn/declaration-of-first-nations/</w:t>
        </w:r>
      </w:hyperlink>
      <w:r>
        <w:t xml:space="preserve"> (Zugriff: 31.01.2020)</w:t>
      </w:r>
    </w:p>
    <w:p w:rsidR="000A5B73" w:rsidRDefault="000A5B73" w:rsidP="00383A11">
      <w:pPr>
        <w:pStyle w:val="Listenabsatz"/>
        <w:numPr>
          <w:ilvl w:val="0"/>
          <w:numId w:val="1"/>
        </w:numPr>
      </w:pPr>
      <w:bookmarkStart w:id="7" w:name="_Hlk31813017"/>
      <w:bookmarkStart w:id="8" w:name="_Hlk31813324"/>
      <w:r>
        <w:t>Food and Agriculture Organization of the United Nations (FAO) (2020</w:t>
      </w:r>
      <w:r w:rsidR="00383A11">
        <w:t>a</w:t>
      </w:r>
      <w:r>
        <w:t>):</w:t>
      </w:r>
      <w:bookmarkEnd w:id="7"/>
      <w:r w:rsidR="00383A11">
        <w:t xml:space="preserve"> </w:t>
      </w:r>
      <w:bookmarkEnd w:id="8"/>
      <w:r w:rsidR="00383A11">
        <w:fldChar w:fldCharType="begin"/>
      </w:r>
      <w:r w:rsidR="00383A11">
        <w:instrText xml:space="preserve"> HYPERLINK "</w:instrText>
      </w:r>
      <w:r w:rsidR="00383A11" w:rsidRPr="00383A11">
        <w:instrText>http://www.fao.org/fishery/culturedspecies/Salmo_salar/en</w:instrText>
      </w:r>
      <w:r w:rsidR="00383A11">
        <w:instrText xml:space="preserve">" </w:instrText>
      </w:r>
      <w:r w:rsidR="00383A11">
        <w:fldChar w:fldCharType="separate"/>
      </w:r>
      <w:r w:rsidR="00383A11" w:rsidRPr="006E6413">
        <w:rPr>
          <w:rStyle w:val="Hyperlink"/>
        </w:rPr>
        <w:t>http://www.fao.org/fishery/culturedspecies/Salmo_salar/en</w:t>
      </w:r>
      <w:r w:rsidR="00383A11">
        <w:fldChar w:fldCharType="end"/>
      </w:r>
      <w:r>
        <w:t xml:space="preserve"> (Zugriff: 31.01.2020)</w:t>
      </w:r>
    </w:p>
    <w:p w:rsidR="00383A11" w:rsidRDefault="00383A11" w:rsidP="00F13C87">
      <w:pPr>
        <w:pStyle w:val="Listenabsatz"/>
        <w:numPr>
          <w:ilvl w:val="0"/>
          <w:numId w:val="1"/>
        </w:numPr>
      </w:pPr>
      <w:r w:rsidRPr="00383A11">
        <w:t>Food and Agriculture Organization of the United Nations (FAO) (2020</w:t>
      </w:r>
      <w:r>
        <w:t>b</w:t>
      </w:r>
      <w:r w:rsidRPr="00383A11">
        <w:t>):</w:t>
      </w:r>
      <w:r>
        <w:t xml:space="preserve"> </w:t>
      </w:r>
      <w:hyperlink r:id="rId7" w:anchor="tcNB01CA" w:history="1">
        <w:r w:rsidRPr="00877C38">
          <w:rPr>
            <w:rStyle w:val="Hyperlink"/>
          </w:rPr>
          <w:t>http://www.fao.org/fishery/legalframework/nalo_canada/en#tcNB01CA</w:t>
        </w:r>
      </w:hyperlink>
      <w:r w:rsidR="00A75BF4">
        <w:t xml:space="preserve"> (Zugriff: 04.02.2020)</w:t>
      </w:r>
    </w:p>
    <w:p w:rsidR="00383A11" w:rsidRDefault="00383A11" w:rsidP="00383A11">
      <w:pPr>
        <w:pStyle w:val="Listenabsatz"/>
        <w:numPr>
          <w:ilvl w:val="0"/>
          <w:numId w:val="1"/>
        </w:numPr>
      </w:pPr>
      <w:r w:rsidRPr="00383A11">
        <w:t>Food and Agriculture Organization of the United Nations (FAO) (2020</w:t>
      </w:r>
      <w:r>
        <w:t>c</w:t>
      </w:r>
      <w:r w:rsidRPr="00383A11">
        <w:t>)</w:t>
      </w:r>
      <w:r>
        <w:t xml:space="preserve">: </w:t>
      </w:r>
      <w:hyperlink r:id="rId8" w:history="1">
        <w:r w:rsidRPr="00877C38">
          <w:rPr>
            <w:rStyle w:val="Hyperlink"/>
          </w:rPr>
          <w:t>http://www.fao.org/fishery/countrysector/naso_canada/en</w:t>
        </w:r>
      </w:hyperlink>
      <w:r w:rsidR="004E2E02">
        <w:t xml:space="preserve"> (Zugriff: 04.02.2020)</w:t>
      </w:r>
    </w:p>
    <w:p w:rsidR="00383A11" w:rsidRDefault="00383A11" w:rsidP="00383A11">
      <w:pPr>
        <w:pStyle w:val="Listenabsatz"/>
        <w:numPr>
          <w:ilvl w:val="0"/>
          <w:numId w:val="1"/>
        </w:numPr>
      </w:pPr>
      <w:r>
        <w:t xml:space="preserve">Government of British Columbia (2019): </w:t>
      </w:r>
      <w:hyperlink r:id="rId9" w:history="1">
        <w:r w:rsidR="00254FDD" w:rsidRPr="008644CD">
          <w:rPr>
            <w:rStyle w:val="Hyperlink"/>
          </w:rPr>
          <w:t>https://www2.gov.bc.ca/assets/gov/farming-natural-resources-and-industry/agriculture-and-seafood/statistics/industry-and-sector-profiles/sector-snapshots/bc_agriculture_seafood_and_agrifood_sector_snapshot_2017.pdf</w:t>
        </w:r>
      </w:hyperlink>
      <w:r w:rsidR="00254FDD">
        <w:t xml:space="preserve"> (Zugriff: 04.02.2020)</w:t>
      </w:r>
    </w:p>
    <w:p w:rsidR="00383A11" w:rsidRDefault="00383A11" w:rsidP="00383A11">
      <w:pPr>
        <w:pStyle w:val="Listenabsatz"/>
        <w:numPr>
          <w:ilvl w:val="0"/>
          <w:numId w:val="1"/>
        </w:numPr>
      </w:pPr>
      <w:r>
        <w:t>Government of Britis</w:t>
      </w:r>
      <w:bookmarkStart w:id="9" w:name="_GoBack"/>
      <w:bookmarkEnd w:id="9"/>
      <w:r>
        <w:t xml:space="preserve">h Columbia (ohne Jahr): </w:t>
      </w:r>
      <w:hyperlink r:id="rId10" w:history="1">
        <w:r w:rsidRPr="00877C38">
          <w:rPr>
            <w:rStyle w:val="Hyperlink"/>
          </w:rPr>
          <w:t>https://www2.gov.bc.ca/gov/content/industry/agriculture-seafood/fisheries-and-aquaculture/aquaculture</w:t>
        </w:r>
      </w:hyperlink>
      <w:r>
        <w:t xml:space="preserve"> (Zugriff: 04.02.2020)</w:t>
      </w:r>
    </w:p>
    <w:p w:rsidR="00383A11" w:rsidRDefault="00254FDD" w:rsidP="00383A11">
      <w:pPr>
        <w:pStyle w:val="Listenabsatz"/>
        <w:numPr>
          <w:ilvl w:val="0"/>
          <w:numId w:val="1"/>
        </w:numPr>
      </w:pPr>
      <w:r w:rsidRPr="00254FDD">
        <w:t>Grieg Seafood Canada (2019</w:t>
      </w:r>
      <w:r>
        <w:t>a</w:t>
      </w:r>
      <w:r w:rsidRPr="00254FDD">
        <w:t xml:space="preserve">): </w:t>
      </w:r>
      <w:hyperlink r:id="rId11" w:history="1">
        <w:r w:rsidRPr="00877C38">
          <w:rPr>
            <w:rStyle w:val="Hyperlink"/>
          </w:rPr>
          <w:t>https://www.griegseafoodcanada.com/our-company/about-us/</w:t>
        </w:r>
      </w:hyperlink>
      <w:r>
        <w:t xml:space="preserve"> </w:t>
      </w:r>
      <w:r w:rsidRPr="00254FDD">
        <w:t>(Zugriff: 04.02.2020)</w:t>
      </w:r>
    </w:p>
    <w:p w:rsidR="00254FDD" w:rsidRDefault="00254FDD" w:rsidP="00383A11">
      <w:pPr>
        <w:pStyle w:val="Listenabsatz"/>
        <w:numPr>
          <w:ilvl w:val="0"/>
          <w:numId w:val="1"/>
        </w:numPr>
      </w:pPr>
      <w:r>
        <w:t xml:space="preserve">Grieg Seafood Canada (2019b): </w:t>
      </w:r>
      <w:hyperlink r:id="rId12" w:history="1">
        <w:r w:rsidRPr="00877C38">
          <w:rPr>
            <w:rStyle w:val="Hyperlink"/>
          </w:rPr>
          <w:t>https://www.griegseafoodcanada.com/wp-content/uploads/2019/12/Nootka-Peroxide-Permit.pdf</w:t>
        </w:r>
      </w:hyperlink>
      <w:r>
        <w:t xml:space="preserve"> (Zugriff: 05.02.2020)</w:t>
      </w:r>
    </w:p>
    <w:p w:rsidR="002F733D" w:rsidRDefault="002F733D" w:rsidP="00254FDD">
      <w:pPr>
        <w:pStyle w:val="Listenabsatz"/>
        <w:numPr>
          <w:ilvl w:val="0"/>
          <w:numId w:val="1"/>
        </w:numPr>
      </w:pPr>
      <w:r w:rsidRPr="002F733D">
        <w:t>Mowachaht / Muchalaht</w:t>
      </w:r>
      <w:r>
        <w:t xml:space="preserve"> First Nation (ohne Jahr): </w:t>
      </w:r>
      <w:hyperlink r:id="rId13" w:history="1">
        <w:r w:rsidRPr="008644CD">
          <w:rPr>
            <w:rStyle w:val="Hyperlink"/>
          </w:rPr>
          <w:t>http://www.yuquot.ca/yuquot.html</w:t>
        </w:r>
      </w:hyperlink>
      <w:r>
        <w:t xml:space="preserve"> (Zugriff: 04.02.2020)</w:t>
      </w:r>
    </w:p>
    <w:p w:rsidR="00AF45E2" w:rsidRDefault="00AF45E2" w:rsidP="00254FDD">
      <w:pPr>
        <w:pStyle w:val="Listenabsatz"/>
        <w:numPr>
          <w:ilvl w:val="0"/>
          <w:numId w:val="1"/>
        </w:numPr>
      </w:pPr>
      <w:r>
        <w:t xml:space="preserve">The New York Times (2008): </w:t>
      </w:r>
      <w:hyperlink r:id="rId14" w:history="1">
        <w:r w:rsidRPr="008644CD">
          <w:rPr>
            <w:rStyle w:val="Hyperlink"/>
          </w:rPr>
          <w:t>https://www.nytimes.com/video/science/1194831199078/alexandra-mortons-salmon-fight.html</w:t>
        </w:r>
      </w:hyperlink>
      <w:r>
        <w:t xml:space="preserve"> (Zugriff: 04.02.2020)</w:t>
      </w:r>
    </w:p>
    <w:p w:rsidR="00C42B89" w:rsidRDefault="00C42B89" w:rsidP="00254FDD">
      <w:pPr>
        <w:pStyle w:val="Listenabsatz"/>
        <w:numPr>
          <w:ilvl w:val="0"/>
          <w:numId w:val="1"/>
        </w:numPr>
      </w:pPr>
      <w:r w:rsidRPr="00C42B89">
        <w:t>United Nations (UN) (ohne Jahr)</w:t>
      </w:r>
      <w:r>
        <w:t xml:space="preserve">: </w:t>
      </w:r>
      <w:hyperlink r:id="rId15" w:history="1">
        <w:r w:rsidRPr="008644CD">
          <w:rPr>
            <w:rStyle w:val="Hyperlink"/>
          </w:rPr>
          <w:t>https://www.un.org/sustainabledevelopment/sustainable-development-goals/</w:t>
        </w:r>
      </w:hyperlink>
      <w:r>
        <w:t xml:space="preserve"> </w:t>
      </w:r>
      <w:r w:rsidRPr="00C42B89">
        <w:t>(</w:t>
      </w:r>
      <w:r>
        <w:t xml:space="preserve">Zugriff: </w:t>
      </w:r>
      <w:r w:rsidRPr="00C42B89">
        <w:t>13.01.2020)</w:t>
      </w:r>
    </w:p>
    <w:p w:rsidR="00C42B89" w:rsidRDefault="00254FDD" w:rsidP="00254FDD">
      <w:pPr>
        <w:pStyle w:val="Listenabsatz"/>
        <w:numPr>
          <w:ilvl w:val="0"/>
          <w:numId w:val="1"/>
        </w:numPr>
      </w:pPr>
      <w:r w:rsidRPr="00254FDD">
        <w:t>Uu-a-thluk</w:t>
      </w:r>
      <w:r>
        <w:t xml:space="preserve"> (ohne Jahr): </w:t>
      </w:r>
      <w:hyperlink r:id="rId16" w:history="1">
        <w:r w:rsidRPr="00877C38">
          <w:rPr>
            <w:rStyle w:val="Hyperlink"/>
          </w:rPr>
          <w:t>http://uuathluk.ca/litigation/fisheries-litigation-trial/#</w:t>
        </w:r>
      </w:hyperlink>
      <w:r>
        <w:t xml:space="preserve"> (Zugriff: 05.02.2020)</w:t>
      </w:r>
    </w:p>
    <w:p w:rsidR="00F13C87" w:rsidRDefault="00F13C87" w:rsidP="00254FDD">
      <w:pPr>
        <w:pStyle w:val="Listenabsatz"/>
        <w:numPr>
          <w:ilvl w:val="0"/>
          <w:numId w:val="1"/>
        </w:numPr>
      </w:pPr>
      <w:r>
        <w:t xml:space="preserve">United States Environmental Protection Agency (EPA) (ohne Jahr): </w:t>
      </w:r>
      <w:hyperlink r:id="rId17" w:history="1">
        <w:r w:rsidRPr="001D0419">
          <w:rPr>
            <w:rStyle w:val="Hyperlink"/>
          </w:rPr>
          <w:t>https://www.epa.gov/environmentaljustice</w:t>
        </w:r>
      </w:hyperlink>
      <w:r>
        <w:t xml:space="preserve"> (Zugriff: 31.01.2020)</w:t>
      </w:r>
    </w:p>
    <w:p w:rsidR="000A5B73" w:rsidRDefault="000A5B73" w:rsidP="00254FDD">
      <w:pPr>
        <w:pStyle w:val="Listenabsatz"/>
        <w:numPr>
          <w:ilvl w:val="0"/>
          <w:numId w:val="1"/>
        </w:numPr>
      </w:pPr>
      <w:r>
        <w:t xml:space="preserve">World Wide Fund For Nature (WWF) (2018): </w:t>
      </w:r>
      <w:hyperlink r:id="rId18" w:history="1">
        <w:r w:rsidRPr="001D0419">
          <w:rPr>
            <w:rStyle w:val="Hyperlink"/>
          </w:rPr>
          <w:t>https://www.wwf.de/themen-projekte/meere-kuesten/fischerei/nachhaltige-fischerei/aquakulturen/</w:t>
        </w:r>
      </w:hyperlink>
      <w:r>
        <w:t xml:space="preserve"> (Zugriff: 31.01.2020)</w:t>
      </w:r>
    </w:p>
    <w:p w:rsidR="004E241E" w:rsidRDefault="004E241E" w:rsidP="00F13C87"/>
    <w:p w:rsidR="004E241E" w:rsidRDefault="004E241E" w:rsidP="00F13C87">
      <w:pPr>
        <w:rPr>
          <w:u w:val="single"/>
        </w:rPr>
      </w:pPr>
      <w:r w:rsidRPr="004E241E">
        <w:rPr>
          <w:u w:val="single"/>
        </w:rPr>
        <w:t>Mailkontakt:</w:t>
      </w:r>
    </w:p>
    <w:p w:rsidR="004E241E" w:rsidRPr="004E241E" w:rsidRDefault="004E241E" w:rsidP="00254FDD">
      <w:pPr>
        <w:pStyle w:val="Listenabsatz"/>
        <w:numPr>
          <w:ilvl w:val="0"/>
          <w:numId w:val="1"/>
        </w:numPr>
      </w:pPr>
      <w:r>
        <w:t xml:space="preserve">Mowachaht-Muchalaht (First Nation, Vancouver Island): anonymisiert, </w:t>
      </w:r>
      <w:r w:rsidR="00C07270">
        <w:t>21.01.2020</w:t>
      </w:r>
    </w:p>
    <w:sectPr w:rsidR="004E241E" w:rsidRPr="004E2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19D"/>
    <w:multiLevelType w:val="hybridMultilevel"/>
    <w:tmpl w:val="50122F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87"/>
    <w:rsid w:val="000A02B2"/>
    <w:rsid w:val="000A5B73"/>
    <w:rsid w:val="000C535E"/>
    <w:rsid w:val="00146BDA"/>
    <w:rsid w:val="00193CE9"/>
    <w:rsid w:val="00254FDD"/>
    <w:rsid w:val="002F733D"/>
    <w:rsid w:val="00322060"/>
    <w:rsid w:val="00383A11"/>
    <w:rsid w:val="003C4B27"/>
    <w:rsid w:val="00414D3D"/>
    <w:rsid w:val="004E241E"/>
    <w:rsid w:val="004E2E02"/>
    <w:rsid w:val="00515727"/>
    <w:rsid w:val="005660C0"/>
    <w:rsid w:val="005739BC"/>
    <w:rsid w:val="005833C7"/>
    <w:rsid w:val="00651878"/>
    <w:rsid w:val="007438FE"/>
    <w:rsid w:val="00775582"/>
    <w:rsid w:val="0092691B"/>
    <w:rsid w:val="009E5777"/>
    <w:rsid w:val="00A617E5"/>
    <w:rsid w:val="00A636C7"/>
    <w:rsid w:val="00A75BF4"/>
    <w:rsid w:val="00A81C13"/>
    <w:rsid w:val="00A9694E"/>
    <w:rsid w:val="00AF45E2"/>
    <w:rsid w:val="00C07270"/>
    <w:rsid w:val="00C42B89"/>
    <w:rsid w:val="00E227EF"/>
    <w:rsid w:val="00E55B1C"/>
    <w:rsid w:val="00E71622"/>
    <w:rsid w:val="00E84DAF"/>
    <w:rsid w:val="00F13C87"/>
    <w:rsid w:val="00F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03B7"/>
  <w15:chartTrackingRefBased/>
  <w15:docId w15:val="{000ABBCB-F184-4C80-9057-2EC090BB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3C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3C87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83A1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383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fishery/countrysector/naso_canada/en" TargetMode="External"/><Relationship Id="rId13" Type="http://schemas.openxmlformats.org/officeDocument/2006/relationships/hyperlink" Target="http://www.yuquot.ca/yuquot.html" TargetMode="External"/><Relationship Id="rId18" Type="http://schemas.openxmlformats.org/officeDocument/2006/relationships/hyperlink" Target="https://www.wwf.de/themen-projekte/meere-kuesten/fischerei/nachhaltige-fischerei/aquakultur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o.org/fishery/legalframework/nalo_canada/en" TargetMode="External"/><Relationship Id="rId12" Type="http://schemas.openxmlformats.org/officeDocument/2006/relationships/hyperlink" Target="https://www.griegseafoodcanada.com/wp-content/uploads/2019/12/Nootka-Peroxide-Permit.pdf" TargetMode="External"/><Relationship Id="rId17" Type="http://schemas.openxmlformats.org/officeDocument/2006/relationships/hyperlink" Target="https://www.epa.gov/environmentaljust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uuathluk.ca/litigation/fisheries-litigation-tri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fn.ca/about-afn/declaration-of-first-nations/" TargetMode="External"/><Relationship Id="rId11" Type="http://schemas.openxmlformats.org/officeDocument/2006/relationships/hyperlink" Target="https://www.griegseafoodcanada.com/our-company/about-us/" TargetMode="External"/><Relationship Id="rId5" Type="http://schemas.openxmlformats.org/officeDocument/2006/relationships/hyperlink" Target="https://aptnnews.ca/2019/11/23/b-c-first-nations-and-salmon-farming-industry-anxious-for-liberals-to-get-back-to-work/" TargetMode="External"/><Relationship Id="rId15" Type="http://schemas.openxmlformats.org/officeDocument/2006/relationships/hyperlink" Target="https://www.un.org/sustainabledevelopment/sustainable-development-goals/" TargetMode="External"/><Relationship Id="rId10" Type="http://schemas.openxmlformats.org/officeDocument/2006/relationships/hyperlink" Target="https://www2.gov.bc.ca/gov/content/industry/agriculture-seafood/fisheries-and-aquaculture/aquacultu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2.gov.bc.ca/assets/gov/farming-natural-resources-and-industry/agriculture-and-seafood/statistics/industry-and-sector-profiles/sector-snapshots/bc_agriculture_seafood_and_agrifood_sector_snapshot_2017.pdf" TargetMode="External"/><Relationship Id="rId14" Type="http://schemas.openxmlformats.org/officeDocument/2006/relationships/hyperlink" Target="https://www.nytimes.com/video/science/1194831199078/alexandra-mortons-salmon-figh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933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2020-01-31T16:12:00Z</dcterms:created>
  <dcterms:modified xsi:type="dcterms:W3CDTF">2020-02-07T10:12:00Z</dcterms:modified>
</cp:coreProperties>
</file>