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GOIT oil &amp; NGL pipelines — regional buildout EDA (June 2026 release)</w:t>
      </w:r>
    </w:p>
    <w:p>
      <w:r>
        <w:rPr>
          <w:b w:val="0"/>
        </w:rPr>
        <w:t>Prepared 15 June 2026. Refreshed against the current data: GEM-GOIT-Oil-NGL-Pipelines-2026-06.xlsx (1,926 segment rows, records last updated 2026-06-13) and the 2026-06-15 GOIT summary sheets (Oil and NGL). The two are consistent — the release file’s in-development length sums to 43,475.6 km, matching the summary sheets’ canonical 43,475.5 km (32,385.2 Oil + 11,090.4 NGL), so the regional figures below are the authoritative country-split totals and there is no double-counting to reconcile in this cut. Regional/country km come from the summary sheets; project-level detail from the release file.</w:t>
      </w:r>
    </w:p>
    <w:p/>
    <w:p>
      <w:r>
        <w:rPr>
          <w:b/>
        </w:rPr>
        <w:t>Headline</w:t>
      </w:r>
    </w:p>
    <w:p>
      <w:pPr>
        <w:pStyle w:val="ListBullet"/>
      </w:pPr>
      <w:r>
        <w:rPr>
          <w:b/>
        </w:rPr>
        <w:t xml:space="preserve">The global in-development stock is 43,476 km — 63% proposed (27,267 km), 37% construction (16,209 km) — against an operating base of 442,302 km. </w:t>
      </w:r>
      <w:r>
        <w:rPr>
          <w:b w:val="0"/>
        </w:rPr>
        <w:t>“In development” buildout is therefore about one-tenth of what already operates, and most of it is still only proposed.</w:t>
      </w:r>
    </w:p>
    <w:p>
      <w:pPr>
        <w:pStyle w:val="ListBullet"/>
      </w:pPr>
      <w:r>
        <w:rPr>
          <w:b/>
        </w:rPr>
        <w:t xml:space="preserve">The single most important distinction is proposed vs. construction. </w:t>
      </w:r>
      <w:r>
        <w:rPr>
          <w:b w:val="0"/>
        </w:rPr>
        <w:t>The regions that top the headline buildout ranking are not the regions where pipe is actually going in the ground. Three of the top four in-development regions — Sub-Saharan Africa, Latin America, and Central Asia — have zero kilometers under construction. Their entire buildout is proposals.</w:t>
      </w:r>
    </w:p>
    <w:p>
      <w:pPr>
        <w:pStyle w:val="ListBullet"/>
      </w:pPr>
      <w:r>
        <w:rPr>
          <w:b/>
        </w:rPr>
        <w:t xml:space="preserve">Where pipe is actually being laid, one country dominates: India. </w:t>
      </w:r>
      <w:r>
        <w:rPr>
          <w:b w:val="0"/>
        </w:rPr>
        <w:t>India alone accounts for 5,473 km of the world’s 16,209 construction-stage kilometers — a third of all active construction — and none of it is merely proposed.</w:t>
      </w:r>
    </w:p>
    <w:p/>
    <w:p>
      <w:r>
        <w:rPr>
          <w:b/>
        </w:rPr>
        <w:t>In-development length by region (canonical, Oil + NGL combined)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Subregion</w:t>
            </w:r>
          </w:p>
        </w:tc>
        <w:tc>
          <w:tcPr>
            <w:tcW w:type="dxa" w:w="1728"/>
          </w:tcPr>
          <w:p>
            <w:r/>
            <w:r>
              <w:rPr>
                <w:rFonts w:ascii="Calibri" w:hAnsi="Calibri"/>
                <w:b/>
                <w:sz w:val="20"/>
              </w:rPr>
              <w:t>Proposed</w:t>
            </w:r>
          </w:p>
        </w:tc>
        <w:tc>
          <w:tcPr>
            <w:tcW w:type="dxa" w:w="1728"/>
          </w:tcPr>
          <w:p>
            <w:r/>
            <w:r>
              <w:rPr>
                <w:rFonts w:ascii="Calibri" w:hAnsi="Calibri"/>
                <w:b/>
                <w:sz w:val="20"/>
              </w:rPr>
              <w:t>Constr.</w:t>
            </w:r>
          </w:p>
        </w:tc>
        <w:tc>
          <w:tcPr>
            <w:tcW w:type="dxa" w:w="1728"/>
          </w:tcPr>
          <w:p>
            <w:r/>
            <w:r>
              <w:rPr>
                <w:rFonts w:ascii="Calibri" w:hAnsi="Calibri"/>
                <w:b/>
                <w:sz w:val="20"/>
              </w:rPr>
              <w:t>In dev.</w:t>
            </w:r>
          </w:p>
        </w:tc>
        <w:tc>
          <w:tcPr>
            <w:tcW w:type="dxa" w:w="1728"/>
          </w:tcPr>
          <w:p>
            <w:r/>
            <w:r>
              <w:rPr>
                <w:rFonts w:ascii="Calibri" w:hAnsi="Calibri"/>
                <w:b/>
                <w:sz w:val="20"/>
              </w:rPr>
              <w:t>Operating</w:t>
            </w:r>
          </w:p>
        </w:tc>
      </w:tr>
      <w:tr>
        <w:tc>
          <w:tcPr>
            <w:tcW w:type="dxa" w:w="1728"/>
          </w:tcPr>
          <w:p>
            <w:r/>
            <w:r>
              <w:rPr>
                <w:rFonts w:ascii="Calibri" w:hAnsi="Calibri"/>
                <w:b/>
                <w:sz w:val="20"/>
              </w:rPr>
              <w:t>Southern Asia</w:t>
            </w:r>
          </w:p>
        </w:tc>
        <w:tc>
          <w:tcPr>
            <w:tcW w:type="dxa" w:w="1728"/>
          </w:tcPr>
          <w:p>
            <w:pPr>
              <w:jc w:val="right"/>
            </w:pPr>
            <w:r/>
            <w:r>
              <w:rPr>
                <w:rFonts w:ascii="Calibri" w:hAnsi="Calibri"/>
                <w:sz w:val="20"/>
              </w:rPr>
              <w:t>103</w:t>
            </w:r>
          </w:p>
        </w:tc>
        <w:tc>
          <w:tcPr>
            <w:tcW w:type="dxa" w:w="1728"/>
          </w:tcPr>
          <w:p>
            <w:pPr>
              <w:jc w:val="right"/>
            </w:pPr>
            <w:r/>
            <w:r>
              <w:rPr>
                <w:rFonts w:ascii="Calibri" w:hAnsi="Calibri"/>
                <w:sz w:val="20"/>
              </w:rPr>
              <w:t>6,932</w:t>
            </w:r>
          </w:p>
        </w:tc>
        <w:tc>
          <w:tcPr>
            <w:tcW w:type="dxa" w:w="1728"/>
          </w:tcPr>
          <w:p>
            <w:pPr>
              <w:jc w:val="right"/>
            </w:pPr>
            <w:r/>
            <w:r>
              <w:rPr>
                <w:rFonts w:ascii="Calibri" w:hAnsi="Calibri"/>
                <w:sz w:val="20"/>
              </w:rPr>
              <w:t>7,035</w:t>
            </w:r>
          </w:p>
        </w:tc>
        <w:tc>
          <w:tcPr>
            <w:tcW w:type="dxa" w:w="1728"/>
          </w:tcPr>
          <w:p>
            <w:pPr>
              <w:jc w:val="right"/>
            </w:pPr>
            <w:r/>
            <w:r>
              <w:rPr>
                <w:rFonts w:ascii="Calibri" w:hAnsi="Calibri"/>
                <w:sz w:val="20"/>
              </w:rPr>
              <w:t>26,836</w:t>
            </w:r>
          </w:p>
        </w:tc>
      </w:tr>
      <w:tr>
        <w:tc>
          <w:tcPr>
            <w:tcW w:type="dxa" w:w="1728"/>
          </w:tcPr>
          <w:p>
            <w:r/>
            <w:r>
              <w:rPr>
                <w:rFonts w:ascii="Calibri" w:hAnsi="Calibri"/>
                <w:b/>
                <w:sz w:val="20"/>
              </w:rPr>
              <w:t>Eastern Asia</w:t>
            </w:r>
          </w:p>
        </w:tc>
        <w:tc>
          <w:tcPr>
            <w:tcW w:type="dxa" w:w="1728"/>
          </w:tcPr>
          <w:p>
            <w:pPr>
              <w:jc w:val="right"/>
            </w:pPr>
            <w:r/>
            <w:r>
              <w:rPr>
                <w:rFonts w:ascii="Calibri" w:hAnsi="Calibri"/>
                <w:sz w:val="20"/>
              </w:rPr>
              <w:t>4,792</w:t>
            </w:r>
          </w:p>
        </w:tc>
        <w:tc>
          <w:tcPr>
            <w:tcW w:type="dxa" w:w="1728"/>
          </w:tcPr>
          <w:p>
            <w:pPr>
              <w:jc w:val="right"/>
            </w:pPr>
            <w:r/>
            <w:r>
              <w:rPr>
                <w:rFonts w:ascii="Calibri" w:hAnsi="Calibri"/>
                <w:sz w:val="20"/>
              </w:rPr>
              <w:t>1,698</w:t>
            </w:r>
          </w:p>
        </w:tc>
        <w:tc>
          <w:tcPr>
            <w:tcW w:type="dxa" w:w="1728"/>
          </w:tcPr>
          <w:p>
            <w:pPr>
              <w:jc w:val="right"/>
            </w:pPr>
            <w:r/>
            <w:r>
              <w:rPr>
                <w:rFonts w:ascii="Calibri" w:hAnsi="Calibri"/>
                <w:sz w:val="20"/>
              </w:rPr>
              <w:t>6,490</w:t>
            </w:r>
          </w:p>
        </w:tc>
        <w:tc>
          <w:tcPr>
            <w:tcW w:type="dxa" w:w="1728"/>
          </w:tcPr>
          <w:p>
            <w:pPr>
              <w:jc w:val="right"/>
            </w:pPr>
            <w:r/>
            <w:r>
              <w:rPr>
                <w:rFonts w:ascii="Calibri" w:hAnsi="Calibri"/>
                <w:sz w:val="20"/>
              </w:rPr>
              <w:t>36,776</w:t>
            </w:r>
          </w:p>
        </w:tc>
      </w:tr>
      <w:tr>
        <w:tc>
          <w:tcPr>
            <w:tcW w:type="dxa" w:w="1728"/>
          </w:tcPr>
          <w:p>
            <w:r/>
            <w:r>
              <w:rPr>
                <w:rFonts w:ascii="Calibri" w:hAnsi="Calibri"/>
                <w:b/>
                <w:sz w:val="20"/>
              </w:rPr>
              <w:t>Sub-Saharan Africa</w:t>
            </w:r>
          </w:p>
        </w:tc>
        <w:tc>
          <w:tcPr>
            <w:tcW w:type="dxa" w:w="1728"/>
          </w:tcPr>
          <w:p>
            <w:pPr>
              <w:jc w:val="right"/>
            </w:pPr>
            <w:r/>
            <w:r>
              <w:rPr>
                <w:rFonts w:ascii="Calibri" w:hAnsi="Calibri"/>
                <w:sz w:val="20"/>
              </w:rPr>
              <w:t>6,031</w:t>
            </w:r>
          </w:p>
        </w:tc>
        <w:tc>
          <w:tcPr>
            <w:tcW w:type="dxa" w:w="1728"/>
          </w:tcPr>
          <w:p>
            <w:pPr>
              <w:jc w:val="right"/>
            </w:pPr>
            <w:r/>
            <w:r>
              <w:rPr>
                <w:rFonts w:ascii="Calibri" w:hAnsi="Calibri"/>
                <w:sz w:val="20"/>
              </w:rPr>
              <w:t>0</w:t>
            </w:r>
          </w:p>
        </w:tc>
        <w:tc>
          <w:tcPr>
            <w:tcW w:type="dxa" w:w="1728"/>
          </w:tcPr>
          <w:p>
            <w:pPr>
              <w:jc w:val="right"/>
            </w:pPr>
            <w:r/>
            <w:r>
              <w:rPr>
                <w:rFonts w:ascii="Calibri" w:hAnsi="Calibri"/>
                <w:sz w:val="20"/>
              </w:rPr>
              <w:t>6,031</w:t>
            </w:r>
          </w:p>
        </w:tc>
        <w:tc>
          <w:tcPr>
            <w:tcW w:type="dxa" w:w="1728"/>
          </w:tcPr>
          <w:p>
            <w:pPr>
              <w:jc w:val="right"/>
            </w:pPr>
            <w:r/>
            <w:r>
              <w:rPr>
                <w:rFonts w:ascii="Calibri" w:hAnsi="Calibri"/>
                <w:sz w:val="20"/>
              </w:rPr>
              <w:t>13,513</w:t>
            </w:r>
          </w:p>
        </w:tc>
      </w:tr>
      <w:tr>
        <w:tc>
          <w:tcPr>
            <w:tcW w:type="dxa" w:w="1728"/>
          </w:tcPr>
          <w:p>
            <w:r/>
            <w:r>
              <w:rPr>
                <w:rFonts w:ascii="Calibri" w:hAnsi="Calibri"/>
                <w:b/>
                <w:sz w:val="20"/>
              </w:rPr>
              <w:t>Latin America &amp; Caribbean</w:t>
            </w:r>
          </w:p>
        </w:tc>
        <w:tc>
          <w:tcPr>
            <w:tcW w:type="dxa" w:w="1728"/>
          </w:tcPr>
          <w:p>
            <w:pPr>
              <w:jc w:val="right"/>
            </w:pPr>
            <w:r/>
            <w:r>
              <w:rPr>
                <w:rFonts w:ascii="Calibri" w:hAnsi="Calibri"/>
                <w:sz w:val="20"/>
              </w:rPr>
              <w:t>5,693</w:t>
            </w:r>
          </w:p>
        </w:tc>
        <w:tc>
          <w:tcPr>
            <w:tcW w:type="dxa" w:w="1728"/>
          </w:tcPr>
          <w:p>
            <w:pPr>
              <w:jc w:val="right"/>
            </w:pPr>
            <w:r/>
            <w:r>
              <w:rPr>
                <w:rFonts w:ascii="Calibri" w:hAnsi="Calibri"/>
                <w:sz w:val="20"/>
              </w:rPr>
              <w:t>0</w:t>
            </w:r>
          </w:p>
        </w:tc>
        <w:tc>
          <w:tcPr>
            <w:tcW w:type="dxa" w:w="1728"/>
          </w:tcPr>
          <w:p>
            <w:pPr>
              <w:jc w:val="right"/>
            </w:pPr>
            <w:r/>
            <w:r>
              <w:rPr>
                <w:rFonts w:ascii="Calibri" w:hAnsi="Calibri"/>
                <w:sz w:val="20"/>
              </w:rPr>
              <w:t>5,693</w:t>
            </w:r>
          </w:p>
        </w:tc>
        <w:tc>
          <w:tcPr>
            <w:tcW w:type="dxa" w:w="1728"/>
          </w:tcPr>
          <w:p>
            <w:pPr>
              <w:jc w:val="right"/>
            </w:pPr>
            <w:r/>
            <w:r>
              <w:rPr>
                <w:rFonts w:ascii="Calibri" w:hAnsi="Calibri"/>
                <w:sz w:val="20"/>
              </w:rPr>
              <w:t>34,141</w:t>
            </w:r>
          </w:p>
        </w:tc>
      </w:tr>
      <w:tr>
        <w:tc>
          <w:tcPr>
            <w:tcW w:type="dxa" w:w="1728"/>
          </w:tcPr>
          <w:p>
            <w:r/>
            <w:r>
              <w:rPr>
                <w:rFonts w:ascii="Calibri" w:hAnsi="Calibri"/>
                <w:b/>
                <w:sz w:val="20"/>
              </w:rPr>
              <w:t>Western Asia</w:t>
            </w:r>
          </w:p>
        </w:tc>
        <w:tc>
          <w:tcPr>
            <w:tcW w:type="dxa" w:w="1728"/>
          </w:tcPr>
          <w:p>
            <w:pPr>
              <w:jc w:val="right"/>
            </w:pPr>
            <w:r/>
            <w:r>
              <w:rPr>
                <w:rFonts w:ascii="Calibri" w:hAnsi="Calibri"/>
                <w:sz w:val="20"/>
              </w:rPr>
              <w:t>4,469</w:t>
            </w:r>
          </w:p>
        </w:tc>
        <w:tc>
          <w:tcPr>
            <w:tcW w:type="dxa" w:w="1728"/>
          </w:tcPr>
          <w:p>
            <w:pPr>
              <w:jc w:val="right"/>
            </w:pPr>
            <w:r/>
            <w:r>
              <w:rPr>
                <w:rFonts w:ascii="Calibri" w:hAnsi="Calibri"/>
                <w:sz w:val="20"/>
              </w:rPr>
              <w:t>1,205</w:t>
            </w:r>
          </w:p>
        </w:tc>
        <w:tc>
          <w:tcPr>
            <w:tcW w:type="dxa" w:w="1728"/>
          </w:tcPr>
          <w:p>
            <w:pPr>
              <w:jc w:val="right"/>
            </w:pPr>
            <w:r/>
            <w:r>
              <w:rPr>
                <w:rFonts w:ascii="Calibri" w:hAnsi="Calibri"/>
                <w:sz w:val="20"/>
              </w:rPr>
              <w:t>5,674</w:t>
            </w:r>
          </w:p>
        </w:tc>
        <w:tc>
          <w:tcPr>
            <w:tcW w:type="dxa" w:w="1728"/>
          </w:tcPr>
          <w:p>
            <w:pPr>
              <w:jc w:val="right"/>
            </w:pPr>
            <w:r/>
            <w:r>
              <w:rPr>
                <w:rFonts w:ascii="Calibri" w:hAnsi="Calibri"/>
                <w:sz w:val="20"/>
              </w:rPr>
              <w:t>26,542</w:t>
            </w:r>
          </w:p>
        </w:tc>
      </w:tr>
      <w:tr>
        <w:tc>
          <w:tcPr>
            <w:tcW w:type="dxa" w:w="1728"/>
          </w:tcPr>
          <w:p>
            <w:r/>
            <w:r>
              <w:rPr>
                <w:rFonts w:ascii="Calibri" w:hAnsi="Calibri"/>
                <w:b/>
                <w:sz w:val="20"/>
              </w:rPr>
              <w:t>Northern America</w:t>
            </w:r>
          </w:p>
        </w:tc>
        <w:tc>
          <w:tcPr>
            <w:tcW w:type="dxa" w:w="1728"/>
          </w:tcPr>
          <w:p>
            <w:pPr>
              <w:jc w:val="right"/>
            </w:pPr>
            <w:r/>
            <w:r>
              <w:rPr>
                <w:rFonts w:ascii="Calibri" w:hAnsi="Calibri"/>
                <w:sz w:val="20"/>
              </w:rPr>
              <w:t>2,215</w:t>
            </w:r>
          </w:p>
        </w:tc>
        <w:tc>
          <w:tcPr>
            <w:tcW w:type="dxa" w:w="1728"/>
          </w:tcPr>
          <w:p>
            <w:pPr>
              <w:jc w:val="right"/>
            </w:pPr>
            <w:r/>
            <w:r>
              <w:rPr>
                <w:rFonts w:ascii="Calibri" w:hAnsi="Calibri"/>
                <w:sz w:val="20"/>
              </w:rPr>
              <w:t>2,185</w:t>
            </w:r>
          </w:p>
        </w:tc>
        <w:tc>
          <w:tcPr>
            <w:tcW w:type="dxa" w:w="1728"/>
          </w:tcPr>
          <w:p>
            <w:pPr>
              <w:jc w:val="right"/>
            </w:pPr>
            <w:r/>
            <w:r>
              <w:rPr>
                <w:rFonts w:ascii="Calibri" w:hAnsi="Calibri"/>
                <w:sz w:val="20"/>
              </w:rPr>
              <w:t>4,399</w:t>
            </w:r>
          </w:p>
        </w:tc>
        <w:tc>
          <w:tcPr>
            <w:tcW w:type="dxa" w:w="1728"/>
          </w:tcPr>
          <w:p>
            <w:pPr>
              <w:jc w:val="right"/>
            </w:pPr>
            <w:r/>
            <w:r>
              <w:rPr>
                <w:rFonts w:ascii="Calibri" w:hAnsi="Calibri"/>
                <w:sz w:val="20"/>
              </w:rPr>
              <w:t>176,043</w:t>
            </w:r>
          </w:p>
        </w:tc>
      </w:tr>
      <w:tr>
        <w:tc>
          <w:tcPr>
            <w:tcW w:type="dxa" w:w="1728"/>
          </w:tcPr>
          <w:p>
            <w:r/>
            <w:r>
              <w:rPr>
                <w:rFonts w:ascii="Calibri" w:hAnsi="Calibri"/>
                <w:b/>
                <w:sz w:val="20"/>
              </w:rPr>
              <w:t>Eastern Europe</w:t>
            </w:r>
          </w:p>
        </w:tc>
        <w:tc>
          <w:tcPr>
            <w:tcW w:type="dxa" w:w="1728"/>
          </w:tcPr>
          <w:p>
            <w:pPr>
              <w:jc w:val="right"/>
            </w:pPr>
            <w:r/>
            <w:r>
              <w:rPr>
                <w:rFonts w:ascii="Calibri" w:hAnsi="Calibri"/>
                <w:sz w:val="20"/>
              </w:rPr>
              <w:t>1,145</w:t>
            </w:r>
          </w:p>
        </w:tc>
        <w:tc>
          <w:tcPr>
            <w:tcW w:type="dxa" w:w="1728"/>
          </w:tcPr>
          <w:p>
            <w:pPr>
              <w:jc w:val="right"/>
            </w:pPr>
            <w:r/>
            <w:r>
              <w:rPr>
                <w:rFonts w:ascii="Calibri" w:hAnsi="Calibri"/>
                <w:sz w:val="20"/>
              </w:rPr>
              <w:t>2,283</w:t>
            </w:r>
          </w:p>
        </w:tc>
        <w:tc>
          <w:tcPr>
            <w:tcW w:type="dxa" w:w="1728"/>
          </w:tcPr>
          <w:p>
            <w:pPr>
              <w:jc w:val="right"/>
            </w:pPr>
            <w:r/>
            <w:r>
              <w:rPr>
                <w:rFonts w:ascii="Calibri" w:hAnsi="Calibri"/>
                <w:sz w:val="20"/>
              </w:rPr>
              <w:t>3,427</w:t>
            </w:r>
          </w:p>
        </w:tc>
        <w:tc>
          <w:tcPr>
            <w:tcW w:type="dxa" w:w="1728"/>
          </w:tcPr>
          <w:p>
            <w:pPr>
              <w:jc w:val="right"/>
            </w:pPr>
            <w:r/>
            <w:r>
              <w:rPr>
                <w:rFonts w:ascii="Calibri" w:hAnsi="Calibri"/>
                <w:sz w:val="20"/>
              </w:rPr>
              <w:t>67,712</w:t>
            </w:r>
          </w:p>
        </w:tc>
      </w:tr>
      <w:tr>
        <w:tc>
          <w:tcPr>
            <w:tcW w:type="dxa" w:w="1728"/>
          </w:tcPr>
          <w:p>
            <w:r/>
            <w:r>
              <w:rPr>
                <w:rFonts w:ascii="Calibri" w:hAnsi="Calibri"/>
                <w:b/>
                <w:sz w:val="20"/>
              </w:rPr>
              <w:t>Central Asia</w:t>
            </w:r>
          </w:p>
        </w:tc>
        <w:tc>
          <w:tcPr>
            <w:tcW w:type="dxa" w:w="1728"/>
          </w:tcPr>
          <w:p>
            <w:pPr>
              <w:jc w:val="right"/>
            </w:pPr>
            <w:r/>
            <w:r>
              <w:rPr>
                <w:rFonts w:ascii="Calibri" w:hAnsi="Calibri"/>
                <w:sz w:val="20"/>
              </w:rPr>
              <w:t>2,291</w:t>
            </w:r>
          </w:p>
        </w:tc>
        <w:tc>
          <w:tcPr>
            <w:tcW w:type="dxa" w:w="1728"/>
          </w:tcPr>
          <w:p>
            <w:pPr>
              <w:jc w:val="right"/>
            </w:pPr>
            <w:r/>
            <w:r>
              <w:rPr>
                <w:rFonts w:ascii="Calibri" w:hAnsi="Calibri"/>
                <w:sz w:val="20"/>
              </w:rPr>
              <w:t>0</w:t>
            </w:r>
          </w:p>
        </w:tc>
        <w:tc>
          <w:tcPr>
            <w:tcW w:type="dxa" w:w="1728"/>
          </w:tcPr>
          <w:p>
            <w:pPr>
              <w:jc w:val="right"/>
            </w:pPr>
            <w:r/>
            <w:r>
              <w:rPr>
                <w:rFonts w:ascii="Calibri" w:hAnsi="Calibri"/>
                <w:sz w:val="20"/>
              </w:rPr>
              <w:t>2,291</w:t>
            </w:r>
          </w:p>
        </w:tc>
        <w:tc>
          <w:tcPr>
            <w:tcW w:type="dxa" w:w="1728"/>
          </w:tcPr>
          <w:p>
            <w:pPr>
              <w:jc w:val="right"/>
            </w:pPr>
            <w:r/>
            <w:r>
              <w:rPr>
                <w:rFonts w:ascii="Calibri" w:hAnsi="Calibri"/>
                <w:sz w:val="20"/>
              </w:rPr>
              <w:t>9,299</w:t>
            </w:r>
          </w:p>
        </w:tc>
      </w:tr>
      <w:tr>
        <w:tc>
          <w:tcPr>
            <w:tcW w:type="dxa" w:w="1728"/>
          </w:tcPr>
          <w:p>
            <w:r/>
            <w:r>
              <w:rPr>
                <w:rFonts w:ascii="Calibri" w:hAnsi="Calibri"/>
                <w:b/>
                <w:sz w:val="20"/>
              </w:rPr>
              <w:t>Northern Africa</w:t>
            </w:r>
          </w:p>
        </w:tc>
        <w:tc>
          <w:tcPr>
            <w:tcW w:type="dxa" w:w="1728"/>
          </w:tcPr>
          <w:p>
            <w:pPr>
              <w:jc w:val="right"/>
            </w:pPr>
            <w:r/>
            <w:r>
              <w:rPr>
                <w:rFonts w:ascii="Calibri" w:hAnsi="Calibri"/>
                <w:sz w:val="20"/>
              </w:rPr>
              <w:t>297</w:t>
            </w:r>
          </w:p>
        </w:tc>
        <w:tc>
          <w:tcPr>
            <w:tcW w:type="dxa" w:w="1728"/>
          </w:tcPr>
          <w:p>
            <w:pPr>
              <w:jc w:val="right"/>
            </w:pPr>
            <w:r/>
            <w:r>
              <w:rPr>
                <w:rFonts w:ascii="Calibri" w:hAnsi="Calibri"/>
                <w:sz w:val="20"/>
              </w:rPr>
              <w:t>1,906</w:t>
            </w:r>
          </w:p>
        </w:tc>
        <w:tc>
          <w:tcPr>
            <w:tcW w:type="dxa" w:w="1728"/>
          </w:tcPr>
          <w:p>
            <w:pPr>
              <w:jc w:val="right"/>
            </w:pPr>
            <w:r/>
            <w:r>
              <w:rPr>
                <w:rFonts w:ascii="Calibri" w:hAnsi="Calibri"/>
                <w:sz w:val="20"/>
              </w:rPr>
              <w:t>2,203</w:t>
            </w:r>
          </w:p>
        </w:tc>
        <w:tc>
          <w:tcPr>
            <w:tcW w:type="dxa" w:w="1728"/>
          </w:tcPr>
          <w:p>
            <w:pPr>
              <w:jc w:val="right"/>
            </w:pPr>
            <w:r/>
            <w:r>
              <w:rPr>
                <w:rFonts w:ascii="Calibri" w:hAnsi="Calibri"/>
                <w:sz w:val="20"/>
              </w:rPr>
              <w:t>26,879</w:t>
            </w:r>
          </w:p>
        </w:tc>
      </w:tr>
      <w:tr>
        <w:tc>
          <w:tcPr>
            <w:tcW w:type="dxa" w:w="1728"/>
          </w:tcPr>
          <w:p>
            <w:r/>
            <w:r>
              <w:rPr>
                <w:rFonts w:ascii="Calibri" w:hAnsi="Calibri"/>
                <w:b/>
                <w:sz w:val="20"/>
              </w:rPr>
              <w:t>Southern Europe</w:t>
            </w:r>
          </w:p>
        </w:tc>
        <w:tc>
          <w:tcPr>
            <w:tcW w:type="dxa" w:w="1728"/>
          </w:tcPr>
          <w:p>
            <w:pPr>
              <w:jc w:val="right"/>
            </w:pPr>
            <w:r/>
            <w:r>
              <w:rPr>
                <w:rFonts w:ascii="Calibri" w:hAnsi="Calibri"/>
                <w:sz w:val="20"/>
              </w:rPr>
              <w:t>232</w:t>
            </w:r>
          </w:p>
        </w:tc>
        <w:tc>
          <w:tcPr>
            <w:tcW w:type="dxa" w:w="1728"/>
          </w:tcPr>
          <w:p>
            <w:pPr>
              <w:jc w:val="right"/>
            </w:pPr>
            <w:r/>
            <w:r>
              <w:rPr>
                <w:rFonts w:ascii="Calibri" w:hAnsi="Calibri"/>
                <w:sz w:val="20"/>
              </w:rPr>
              <w:t>0</w:t>
            </w:r>
          </w:p>
        </w:tc>
        <w:tc>
          <w:tcPr>
            <w:tcW w:type="dxa" w:w="1728"/>
          </w:tcPr>
          <w:p>
            <w:pPr>
              <w:jc w:val="right"/>
            </w:pPr>
            <w:r/>
            <w:r>
              <w:rPr>
                <w:rFonts w:ascii="Calibri" w:hAnsi="Calibri"/>
                <w:sz w:val="20"/>
              </w:rPr>
              <w:t>232</w:t>
            </w:r>
          </w:p>
        </w:tc>
        <w:tc>
          <w:tcPr>
            <w:tcW w:type="dxa" w:w="1728"/>
          </w:tcPr>
          <w:p>
            <w:pPr>
              <w:jc w:val="right"/>
            </w:pPr>
            <w:r/>
            <w:r>
              <w:rPr>
                <w:rFonts w:ascii="Calibri" w:hAnsi="Calibri"/>
                <w:sz w:val="20"/>
              </w:rPr>
              <w:t>2,847</w:t>
            </w:r>
          </w:p>
        </w:tc>
      </w:tr>
      <w:tr>
        <w:tc>
          <w:tcPr>
            <w:tcW w:type="dxa" w:w="1728"/>
          </w:tcPr>
          <w:p>
            <w:r/>
            <w:r>
              <w:rPr>
                <w:rFonts w:ascii="Calibri" w:hAnsi="Calibri"/>
                <w:b/>
                <w:sz w:val="20"/>
              </w:rPr>
              <w:t>Total (all regions)</w:t>
            </w:r>
          </w:p>
        </w:tc>
        <w:tc>
          <w:tcPr>
            <w:tcW w:type="dxa" w:w="1728"/>
          </w:tcPr>
          <w:p>
            <w:pPr>
              <w:jc w:val="right"/>
            </w:pPr>
            <w:r/>
            <w:r>
              <w:rPr>
                <w:rFonts w:ascii="Calibri" w:hAnsi="Calibri"/>
                <w:sz w:val="20"/>
              </w:rPr>
              <w:t>27,267</w:t>
            </w:r>
          </w:p>
        </w:tc>
        <w:tc>
          <w:tcPr>
            <w:tcW w:type="dxa" w:w="1728"/>
          </w:tcPr>
          <w:p>
            <w:pPr>
              <w:jc w:val="right"/>
            </w:pPr>
            <w:r/>
            <w:r>
              <w:rPr>
                <w:rFonts w:ascii="Calibri" w:hAnsi="Calibri"/>
                <w:sz w:val="20"/>
              </w:rPr>
              <w:t>16,209</w:t>
            </w:r>
          </w:p>
        </w:tc>
        <w:tc>
          <w:tcPr>
            <w:tcW w:type="dxa" w:w="1728"/>
          </w:tcPr>
          <w:p>
            <w:pPr>
              <w:jc w:val="right"/>
            </w:pPr>
            <w:r/>
            <w:r>
              <w:rPr>
                <w:rFonts w:ascii="Calibri" w:hAnsi="Calibri"/>
                <w:sz w:val="20"/>
              </w:rPr>
              <w:t>43,476</w:t>
            </w:r>
          </w:p>
        </w:tc>
        <w:tc>
          <w:tcPr>
            <w:tcW w:type="dxa" w:w="1728"/>
          </w:tcPr>
          <w:p>
            <w:pPr>
              <w:jc w:val="right"/>
            </w:pPr>
            <w:r/>
            <w:r>
              <w:rPr>
                <w:rFonts w:ascii="Calibri" w:hAnsi="Calibri"/>
                <w:sz w:val="20"/>
              </w:rPr>
              <w:t>442,302</w:t>
            </w:r>
          </w:p>
        </w:tc>
      </w:tr>
    </w:tbl>
    <w:p>
      <w:r>
        <w:rPr>
          <w:b w:val="0"/>
        </w:rPr>
        <w:t>Read the “Constr.” column, not “In dev.,” to see real buildout. Southern Asia, Northern America, Eastern Europe and Northern Africa are construction-led; Sub-Saharan Africa, Latin America and Central Asia are entirely proposal-led.</w:t>
      </w:r>
    </w:p>
    <w:p/>
    <w:p>
      <w:r>
        <w:rPr>
          <w:b/>
        </w:rPr>
        <w:t>Top countries by in-development length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Country</w:t>
            </w:r>
          </w:p>
        </w:tc>
        <w:tc>
          <w:tcPr>
            <w:tcW w:type="dxa" w:w="2160"/>
          </w:tcPr>
          <w:p>
            <w:r/>
            <w:r>
              <w:rPr>
                <w:rFonts w:ascii="Calibri" w:hAnsi="Calibri"/>
                <w:b/>
                <w:sz w:val="20"/>
              </w:rPr>
              <w:t>Proposed</w:t>
            </w:r>
          </w:p>
        </w:tc>
        <w:tc>
          <w:tcPr>
            <w:tcW w:type="dxa" w:w="2160"/>
          </w:tcPr>
          <w:p>
            <w:r/>
            <w:r>
              <w:rPr>
                <w:rFonts w:ascii="Calibri" w:hAnsi="Calibri"/>
                <w:b/>
                <w:sz w:val="20"/>
              </w:rPr>
              <w:t>Constr.</w:t>
            </w:r>
          </w:p>
        </w:tc>
        <w:tc>
          <w:tcPr>
            <w:tcW w:type="dxa" w:w="2160"/>
          </w:tcPr>
          <w:p>
            <w:r/>
            <w:r>
              <w:rPr>
                <w:rFonts w:ascii="Calibri" w:hAnsi="Calibri"/>
                <w:b/>
                <w:sz w:val="20"/>
              </w:rPr>
              <w:t>In dev.</w:t>
            </w:r>
          </w:p>
        </w:tc>
      </w:tr>
      <w:tr>
        <w:tc>
          <w:tcPr>
            <w:tcW w:type="dxa" w:w="2160"/>
          </w:tcPr>
          <w:p>
            <w:r/>
            <w:r>
              <w:rPr>
                <w:rFonts w:ascii="Calibri" w:hAnsi="Calibri"/>
                <w:b/>
                <w:sz w:val="20"/>
              </w:rPr>
              <w:t>China</w:t>
            </w:r>
          </w:p>
        </w:tc>
        <w:tc>
          <w:tcPr>
            <w:tcW w:type="dxa" w:w="2160"/>
          </w:tcPr>
          <w:p>
            <w:pPr>
              <w:jc w:val="right"/>
            </w:pPr>
            <w:r/>
            <w:r>
              <w:rPr>
                <w:rFonts w:ascii="Calibri" w:hAnsi="Calibri"/>
                <w:sz w:val="20"/>
              </w:rPr>
              <w:t>4,673</w:t>
            </w:r>
          </w:p>
        </w:tc>
        <w:tc>
          <w:tcPr>
            <w:tcW w:type="dxa" w:w="2160"/>
          </w:tcPr>
          <w:p>
            <w:pPr>
              <w:jc w:val="right"/>
            </w:pPr>
            <w:r/>
            <w:r>
              <w:rPr>
                <w:rFonts w:ascii="Calibri" w:hAnsi="Calibri"/>
                <w:sz w:val="20"/>
              </w:rPr>
              <w:t>1,168</w:t>
            </w:r>
          </w:p>
        </w:tc>
        <w:tc>
          <w:tcPr>
            <w:tcW w:type="dxa" w:w="2160"/>
          </w:tcPr>
          <w:p>
            <w:pPr>
              <w:jc w:val="right"/>
            </w:pPr>
            <w:r/>
            <w:r>
              <w:rPr>
                <w:rFonts w:ascii="Calibri" w:hAnsi="Calibri"/>
                <w:sz w:val="20"/>
              </w:rPr>
              <w:t>5,841</w:t>
            </w:r>
          </w:p>
        </w:tc>
      </w:tr>
      <w:tr>
        <w:tc>
          <w:tcPr>
            <w:tcW w:type="dxa" w:w="2160"/>
          </w:tcPr>
          <w:p>
            <w:r/>
            <w:r>
              <w:rPr>
                <w:rFonts w:ascii="Calibri" w:hAnsi="Calibri"/>
                <w:b/>
                <w:sz w:val="20"/>
              </w:rPr>
              <w:t>India</w:t>
            </w:r>
          </w:p>
        </w:tc>
        <w:tc>
          <w:tcPr>
            <w:tcW w:type="dxa" w:w="2160"/>
          </w:tcPr>
          <w:p>
            <w:pPr>
              <w:jc w:val="right"/>
            </w:pPr>
            <w:r/>
            <w:r>
              <w:rPr>
                <w:rFonts w:ascii="Calibri" w:hAnsi="Calibri"/>
                <w:sz w:val="20"/>
              </w:rPr>
              <w:t>0</w:t>
            </w:r>
          </w:p>
        </w:tc>
        <w:tc>
          <w:tcPr>
            <w:tcW w:type="dxa" w:w="2160"/>
          </w:tcPr>
          <w:p>
            <w:pPr>
              <w:jc w:val="right"/>
            </w:pPr>
            <w:r/>
            <w:r>
              <w:rPr>
                <w:rFonts w:ascii="Calibri" w:hAnsi="Calibri"/>
                <w:sz w:val="20"/>
              </w:rPr>
              <w:t>5,473</w:t>
            </w:r>
          </w:p>
        </w:tc>
        <w:tc>
          <w:tcPr>
            <w:tcW w:type="dxa" w:w="2160"/>
          </w:tcPr>
          <w:p>
            <w:pPr>
              <w:jc w:val="right"/>
            </w:pPr>
            <w:r/>
            <w:r>
              <w:rPr>
                <w:rFonts w:ascii="Calibri" w:hAnsi="Calibri"/>
                <w:sz w:val="20"/>
              </w:rPr>
              <w:t>5,473</w:t>
            </w:r>
          </w:p>
        </w:tc>
      </w:tr>
      <w:tr>
        <w:tc>
          <w:tcPr>
            <w:tcW w:type="dxa" w:w="2160"/>
          </w:tcPr>
          <w:p>
            <w:r/>
            <w:r>
              <w:rPr>
                <w:rFonts w:ascii="Calibri" w:hAnsi="Calibri"/>
                <w:b/>
                <w:sz w:val="20"/>
              </w:rPr>
              <w:t>Brazil</w:t>
            </w:r>
          </w:p>
        </w:tc>
        <w:tc>
          <w:tcPr>
            <w:tcW w:type="dxa" w:w="2160"/>
          </w:tcPr>
          <w:p>
            <w:pPr>
              <w:jc w:val="right"/>
            </w:pPr>
            <w:r/>
            <w:r>
              <w:rPr>
                <w:rFonts w:ascii="Calibri" w:hAnsi="Calibri"/>
                <w:sz w:val="20"/>
              </w:rPr>
              <w:t>4,969</w:t>
            </w:r>
          </w:p>
        </w:tc>
        <w:tc>
          <w:tcPr>
            <w:tcW w:type="dxa" w:w="2160"/>
          </w:tcPr>
          <w:p>
            <w:pPr>
              <w:jc w:val="right"/>
            </w:pPr>
            <w:r/>
            <w:r>
              <w:rPr>
                <w:rFonts w:ascii="Calibri" w:hAnsi="Calibri"/>
                <w:sz w:val="20"/>
              </w:rPr>
              <w:t>0</w:t>
            </w:r>
          </w:p>
        </w:tc>
        <w:tc>
          <w:tcPr>
            <w:tcW w:type="dxa" w:w="2160"/>
          </w:tcPr>
          <w:p>
            <w:pPr>
              <w:jc w:val="right"/>
            </w:pPr>
            <w:r/>
            <w:r>
              <w:rPr>
                <w:rFonts w:ascii="Calibri" w:hAnsi="Calibri"/>
                <w:sz w:val="20"/>
              </w:rPr>
              <w:t>4,969</w:t>
            </w:r>
          </w:p>
        </w:tc>
      </w:tr>
      <w:tr>
        <w:tc>
          <w:tcPr>
            <w:tcW w:type="dxa" w:w="2160"/>
          </w:tcPr>
          <w:p>
            <w:r/>
            <w:r>
              <w:rPr>
                <w:rFonts w:ascii="Calibri" w:hAnsi="Calibri"/>
                <w:b/>
                <w:sz w:val="20"/>
              </w:rPr>
              <w:t>United States</w:t>
            </w:r>
          </w:p>
        </w:tc>
        <w:tc>
          <w:tcPr>
            <w:tcW w:type="dxa" w:w="2160"/>
          </w:tcPr>
          <w:p>
            <w:pPr>
              <w:jc w:val="right"/>
            </w:pPr>
            <w:r/>
            <w:r>
              <w:rPr>
                <w:rFonts w:ascii="Calibri" w:hAnsi="Calibri"/>
                <w:sz w:val="20"/>
              </w:rPr>
              <w:t>2,126</w:t>
            </w:r>
          </w:p>
        </w:tc>
        <w:tc>
          <w:tcPr>
            <w:tcW w:type="dxa" w:w="2160"/>
          </w:tcPr>
          <w:p>
            <w:pPr>
              <w:jc w:val="right"/>
            </w:pPr>
            <w:r/>
            <w:r>
              <w:rPr>
                <w:rFonts w:ascii="Calibri" w:hAnsi="Calibri"/>
                <w:sz w:val="20"/>
              </w:rPr>
              <w:t>2,185</w:t>
            </w:r>
          </w:p>
        </w:tc>
        <w:tc>
          <w:tcPr>
            <w:tcW w:type="dxa" w:w="2160"/>
          </w:tcPr>
          <w:p>
            <w:pPr>
              <w:jc w:val="right"/>
            </w:pPr>
            <w:r/>
            <w:r>
              <w:rPr>
                <w:rFonts w:ascii="Calibri" w:hAnsi="Calibri"/>
                <w:sz w:val="20"/>
              </w:rPr>
              <w:t>4,310</w:t>
            </w:r>
          </w:p>
        </w:tc>
      </w:tr>
      <w:tr>
        <w:tc>
          <w:tcPr>
            <w:tcW w:type="dxa" w:w="2160"/>
          </w:tcPr>
          <w:p>
            <w:r/>
            <w:r>
              <w:rPr>
                <w:rFonts w:ascii="Calibri" w:hAnsi="Calibri"/>
                <w:b/>
                <w:sz w:val="20"/>
              </w:rPr>
              <w:t>Russia</w:t>
            </w:r>
          </w:p>
        </w:tc>
        <w:tc>
          <w:tcPr>
            <w:tcW w:type="dxa" w:w="2160"/>
          </w:tcPr>
          <w:p>
            <w:pPr>
              <w:jc w:val="right"/>
            </w:pPr>
            <w:r/>
            <w:r>
              <w:rPr>
                <w:rFonts w:ascii="Calibri" w:hAnsi="Calibri"/>
                <w:sz w:val="20"/>
              </w:rPr>
              <w:t>176</w:t>
            </w:r>
          </w:p>
        </w:tc>
        <w:tc>
          <w:tcPr>
            <w:tcW w:type="dxa" w:w="2160"/>
          </w:tcPr>
          <w:p>
            <w:pPr>
              <w:jc w:val="right"/>
            </w:pPr>
            <w:r/>
            <w:r>
              <w:rPr>
                <w:rFonts w:ascii="Calibri" w:hAnsi="Calibri"/>
                <w:sz w:val="20"/>
              </w:rPr>
              <w:t>2,283</w:t>
            </w:r>
          </w:p>
        </w:tc>
        <w:tc>
          <w:tcPr>
            <w:tcW w:type="dxa" w:w="2160"/>
          </w:tcPr>
          <w:p>
            <w:pPr>
              <w:jc w:val="right"/>
            </w:pPr>
            <w:r/>
            <w:r>
              <w:rPr>
                <w:rFonts w:ascii="Calibri" w:hAnsi="Calibri"/>
                <w:sz w:val="20"/>
              </w:rPr>
              <w:t>2,459</w:t>
            </w:r>
          </w:p>
        </w:tc>
      </w:tr>
      <w:tr>
        <w:tc>
          <w:tcPr>
            <w:tcW w:type="dxa" w:w="2160"/>
          </w:tcPr>
          <w:p>
            <w:r/>
            <w:r>
              <w:rPr>
                <w:rFonts w:ascii="Calibri" w:hAnsi="Calibri"/>
                <w:b/>
                <w:sz w:val="20"/>
              </w:rPr>
              <w:t>Kazakhstan</w:t>
            </w:r>
          </w:p>
        </w:tc>
        <w:tc>
          <w:tcPr>
            <w:tcW w:type="dxa" w:w="2160"/>
          </w:tcPr>
          <w:p>
            <w:pPr>
              <w:jc w:val="right"/>
            </w:pPr>
            <w:r/>
            <w:r>
              <w:rPr>
                <w:rFonts w:ascii="Calibri" w:hAnsi="Calibri"/>
                <w:sz w:val="20"/>
              </w:rPr>
              <w:t>2,026</w:t>
            </w:r>
          </w:p>
        </w:tc>
        <w:tc>
          <w:tcPr>
            <w:tcW w:type="dxa" w:w="2160"/>
          </w:tcPr>
          <w:p>
            <w:pPr>
              <w:jc w:val="right"/>
            </w:pPr>
            <w:r/>
            <w:r>
              <w:rPr>
                <w:rFonts w:ascii="Calibri" w:hAnsi="Calibri"/>
                <w:sz w:val="20"/>
              </w:rPr>
              <w:t>0</w:t>
            </w:r>
          </w:p>
        </w:tc>
        <w:tc>
          <w:tcPr>
            <w:tcW w:type="dxa" w:w="2160"/>
          </w:tcPr>
          <w:p>
            <w:pPr>
              <w:jc w:val="right"/>
            </w:pPr>
            <w:r/>
            <w:r>
              <w:rPr>
                <w:rFonts w:ascii="Calibri" w:hAnsi="Calibri"/>
                <w:sz w:val="20"/>
              </w:rPr>
              <w:t>2,026</w:t>
            </w:r>
          </w:p>
        </w:tc>
      </w:tr>
      <w:tr>
        <w:tc>
          <w:tcPr>
            <w:tcW w:type="dxa" w:w="2160"/>
          </w:tcPr>
          <w:p>
            <w:r/>
            <w:r>
              <w:rPr>
                <w:rFonts w:ascii="Calibri" w:hAnsi="Calibri"/>
                <w:b/>
                <w:sz w:val="20"/>
              </w:rPr>
              <w:t>Tanzania</w:t>
            </w:r>
          </w:p>
        </w:tc>
        <w:tc>
          <w:tcPr>
            <w:tcW w:type="dxa" w:w="2160"/>
          </w:tcPr>
          <w:p>
            <w:pPr>
              <w:jc w:val="right"/>
            </w:pPr>
            <w:r/>
            <w:r>
              <w:rPr>
                <w:rFonts w:ascii="Calibri" w:hAnsi="Calibri"/>
                <w:sz w:val="20"/>
              </w:rPr>
              <w:t>2,022</w:t>
            </w:r>
          </w:p>
        </w:tc>
        <w:tc>
          <w:tcPr>
            <w:tcW w:type="dxa" w:w="2160"/>
          </w:tcPr>
          <w:p>
            <w:pPr>
              <w:jc w:val="right"/>
            </w:pPr>
            <w:r/>
            <w:r>
              <w:rPr>
                <w:rFonts w:ascii="Calibri" w:hAnsi="Calibri"/>
                <w:sz w:val="20"/>
              </w:rPr>
              <w:t>0</w:t>
            </w:r>
          </w:p>
        </w:tc>
        <w:tc>
          <w:tcPr>
            <w:tcW w:type="dxa" w:w="2160"/>
          </w:tcPr>
          <w:p>
            <w:pPr>
              <w:jc w:val="right"/>
            </w:pPr>
            <w:r/>
            <w:r>
              <w:rPr>
                <w:rFonts w:ascii="Calibri" w:hAnsi="Calibri"/>
                <w:sz w:val="20"/>
              </w:rPr>
              <w:t>2,022</w:t>
            </w:r>
          </w:p>
        </w:tc>
      </w:tr>
      <w:tr>
        <w:tc>
          <w:tcPr>
            <w:tcW w:type="dxa" w:w="2160"/>
          </w:tcPr>
          <w:p>
            <w:r/>
            <w:r>
              <w:rPr>
                <w:rFonts w:ascii="Calibri" w:hAnsi="Calibri"/>
                <w:b/>
                <w:sz w:val="20"/>
              </w:rPr>
              <w:t>Iraq</w:t>
            </w:r>
          </w:p>
        </w:tc>
        <w:tc>
          <w:tcPr>
            <w:tcW w:type="dxa" w:w="2160"/>
          </w:tcPr>
          <w:p>
            <w:pPr>
              <w:jc w:val="right"/>
            </w:pPr>
            <w:r/>
            <w:r>
              <w:rPr>
                <w:rFonts w:ascii="Calibri" w:hAnsi="Calibri"/>
                <w:sz w:val="20"/>
              </w:rPr>
              <w:t>854</w:t>
            </w:r>
          </w:p>
        </w:tc>
        <w:tc>
          <w:tcPr>
            <w:tcW w:type="dxa" w:w="2160"/>
          </w:tcPr>
          <w:p>
            <w:pPr>
              <w:jc w:val="right"/>
            </w:pPr>
            <w:r/>
            <w:r>
              <w:rPr>
                <w:rFonts w:ascii="Calibri" w:hAnsi="Calibri"/>
                <w:sz w:val="20"/>
              </w:rPr>
              <w:t>985</w:t>
            </w:r>
          </w:p>
        </w:tc>
        <w:tc>
          <w:tcPr>
            <w:tcW w:type="dxa" w:w="2160"/>
          </w:tcPr>
          <w:p>
            <w:pPr>
              <w:jc w:val="right"/>
            </w:pPr>
            <w:r/>
            <w:r>
              <w:rPr>
                <w:rFonts w:ascii="Calibri" w:hAnsi="Calibri"/>
                <w:sz w:val="20"/>
              </w:rPr>
              <w:t>1,840</w:t>
            </w:r>
          </w:p>
        </w:tc>
      </w:tr>
      <w:tr>
        <w:tc>
          <w:tcPr>
            <w:tcW w:type="dxa" w:w="2160"/>
          </w:tcPr>
          <w:p>
            <w:r/>
            <w:r>
              <w:rPr>
                <w:rFonts w:ascii="Calibri" w:hAnsi="Calibri"/>
                <w:b/>
                <w:sz w:val="20"/>
              </w:rPr>
              <w:t>Iran</w:t>
            </w:r>
          </w:p>
        </w:tc>
        <w:tc>
          <w:tcPr>
            <w:tcW w:type="dxa" w:w="2160"/>
          </w:tcPr>
          <w:p>
            <w:pPr>
              <w:jc w:val="right"/>
            </w:pPr>
            <w:r/>
            <w:r>
              <w:rPr>
                <w:rFonts w:ascii="Calibri" w:hAnsi="Calibri"/>
                <w:sz w:val="20"/>
              </w:rPr>
              <w:t>103</w:t>
            </w:r>
          </w:p>
        </w:tc>
        <w:tc>
          <w:tcPr>
            <w:tcW w:type="dxa" w:w="2160"/>
          </w:tcPr>
          <w:p>
            <w:pPr>
              <w:jc w:val="right"/>
            </w:pPr>
            <w:r/>
            <w:r>
              <w:rPr>
                <w:rFonts w:ascii="Calibri" w:hAnsi="Calibri"/>
                <w:sz w:val="20"/>
              </w:rPr>
              <w:t>1,459</w:t>
            </w:r>
          </w:p>
        </w:tc>
        <w:tc>
          <w:tcPr>
            <w:tcW w:type="dxa" w:w="2160"/>
          </w:tcPr>
          <w:p>
            <w:pPr>
              <w:jc w:val="right"/>
            </w:pPr>
            <w:r/>
            <w:r>
              <w:rPr>
                <w:rFonts w:ascii="Calibri" w:hAnsi="Calibri"/>
                <w:sz w:val="20"/>
              </w:rPr>
              <w:t>1,562</w:t>
            </w:r>
          </w:p>
        </w:tc>
      </w:tr>
      <w:tr>
        <w:tc>
          <w:tcPr>
            <w:tcW w:type="dxa" w:w="2160"/>
          </w:tcPr>
          <w:p>
            <w:r/>
            <w:r>
              <w:rPr>
                <w:rFonts w:ascii="Calibri" w:hAnsi="Calibri"/>
                <w:b/>
                <w:sz w:val="20"/>
              </w:rPr>
              <w:t>Kenya</w:t>
            </w:r>
          </w:p>
        </w:tc>
        <w:tc>
          <w:tcPr>
            <w:tcW w:type="dxa" w:w="2160"/>
          </w:tcPr>
          <w:p>
            <w:pPr>
              <w:jc w:val="right"/>
            </w:pPr>
            <w:r/>
            <w:r>
              <w:rPr>
                <w:rFonts w:ascii="Calibri" w:hAnsi="Calibri"/>
                <w:sz w:val="20"/>
              </w:rPr>
              <w:t>1,498</w:t>
            </w:r>
          </w:p>
        </w:tc>
        <w:tc>
          <w:tcPr>
            <w:tcW w:type="dxa" w:w="2160"/>
          </w:tcPr>
          <w:p>
            <w:pPr>
              <w:jc w:val="right"/>
            </w:pPr>
            <w:r/>
            <w:r>
              <w:rPr>
                <w:rFonts w:ascii="Calibri" w:hAnsi="Calibri"/>
                <w:sz w:val="20"/>
              </w:rPr>
              <w:t>0</w:t>
            </w:r>
          </w:p>
        </w:tc>
        <w:tc>
          <w:tcPr>
            <w:tcW w:type="dxa" w:w="2160"/>
          </w:tcPr>
          <w:p>
            <w:pPr>
              <w:jc w:val="right"/>
            </w:pPr>
            <w:r/>
            <w:r>
              <w:rPr>
                <w:rFonts w:ascii="Calibri" w:hAnsi="Calibri"/>
                <w:sz w:val="20"/>
              </w:rPr>
              <w:t>1,498</w:t>
            </w:r>
          </w:p>
        </w:tc>
      </w:tr>
    </w:tbl>
    <w:p/>
    <w:p>
      <w:r>
        <w:rPr>
          <w:b/>
        </w:rPr>
        <w:t>Where pipelines are actually being built (construction stage)</w:t>
      </w:r>
    </w:p>
    <w:p>
      <w:pPr>
        <w:pStyle w:val="ListBullet"/>
      </w:pPr>
      <w:r>
        <w:rPr>
          <w:b/>
        </w:rPr>
        <w:t xml:space="preserve">Southern Asia / India — the standout (6,912 km of the region’s 6,932 construction km). </w:t>
      </w:r>
      <w:r>
        <w:rPr>
          <w:b w:val="0"/>
        </w:rPr>
        <w:t>Three big Indian lines drive it: Kandla–Gorakhpur LPG (2,805 km, the world’s longest LPG line), Paradip–Numaligarh crude (PNCPL, 1,635 km), and New Mundra–Panipat crude (1,033 km). External reporting confirms these are live: PNCPL was ~85% complete in Feb 2026 with full commissioning targeted Dec 2026; New Mundra–Panipat targets mid-2026; Kandla–Gorakhpur is building but has slipped its targets. A cluster of small Iranian oilfield segments (~1,459 km, e.g. West Karoon lines) rounds out the subregion.</w:t>
      </w:r>
    </w:p>
    <w:p>
      <w:pPr>
        <w:pStyle w:val="ListBullet"/>
      </w:pPr>
      <w:r>
        <w:rPr>
          <w:b/>
        </w:rPr>
        <w:t xml:space="preserve">Eastern Europe / Russia (2,283 km). </w:t>
      </w:r>
      <w:r>
        <w:rPr>
          <w:b w:val="0"/>
        </w:rPr>
        <w:t>Almost entirely the Vostok Oil Pipeline (1,540 km across two parallel lines, Vankor–Payakha–Sever Bay I and II), plus Tikhoretsk–Novorossiysk and small Baltic/Yuzhny Balyk lines. Vostok is built but constrained by tanker sanctions, not pipe.</w:t>
      </w:r>
    </w:p>
    <w:p>
      <w:pPr>
        <w:pStyle w:val="ListBullet"/>
      </w:pPr>
      <w:r>
        <w:rPr>
          <w:b/>
        </w:rPr>
        <w:t xml:space="preserve">Northern America / United States (2,185 km) — an NGL story. </w:t>
      </w:r>
      <w:r>
        <w:rPr>
          <w:b w:val="0"/>
        </w:rPr>
        <w:t>Speedway NGL (805 km) and Hiland Express (744 km) lead, with Canyon, Rome and Oceanus adding Permian/Bakken gathering. Continues the US NGL/liquids boom.</w:t>
      </w:r>
    </w:p>
    <w:p>
      <w:pPr>
        <w:pStyle w:val="ListBullet"/>
      </w:pPr>
      <w:r>
        <w:rPr>
          <w:b/>
        </w:rPr>
        <w:t xml:space="preserve">Northern Africa (1,906 km). </w:t>
      </w:r>
      <w:r>
        <w:rPr>
          <w:b w:val="0"/>
        </w:rPr>
        <w:t>Libya’s Sirte–Ras Lanuf–Sidra rebuild (700 km) plus Algerian (Arzew–Chlef–Algiers LPG, 424 km) and Egyptian segments.</w:t>
      </w:r>
    </w:p>
    <w:p>
      <w:pPr>
        <w:pStyle w:val="ListBullet"/>
      </w:pPr>
      <w:r>
        <w:rPr>
          <w:b/>
        </w:rPr>
        <w:t xml:space="preserve">Eastern Asia / China (1,698 km) — refinery plumbing, not trunk lines. </w:t>
      </w:r>
      <w:r>
        <w:rPr>
          <w:b w:val="0"/>
        </w:rPr>
        <w:t>With the Western Crude Oil Parallel mainline now shelved, China’s active construction is dozens of sub-150 km lines around the Shandong/Dongying refining cluster (Jinzhou–Dayou–Panjin, Lianyungang–Yizheng, Dongying subsea), plus Mongolia’s Dornod–Sainshand (530 km). No strategic import/export trunk is currently under construction in China.</w:t>
      </w:r>
    </w:p>
    <w:p>
      <w:pPr>
        <w:pStyle w:val="ListBullet"/>
      </w:pPr>
      <w:r>
        <w:rPr>
          <w:b/>
        </w:rPr>
        <w:t xml:space="preserve">Western Asia / Iraq (1,225 km). </w:t>
      </w:r>
      <w:r>
        <w:rPr>
          <w:b w:val="0"/>
        </w:rPr>
        <w:t>The Iraqi leg of the Basra–Aqaba/Basra–Haditha trunk (685 km, construction) — the Hormuz-bypass export project the cabinet approved to tender in April 2026 and began ~May 2026 — plus small Basra-area export works.</w:t>
      </w:r>
    </w:p>
    <w:p/>
    <w:p>
      <w:r>
        <w:rPr>
          <w:b/>
        </w:rPr>
        <w:t>Where the proposals are (speculative pipeline — handle with care)</w:t>
      </w:r>
    </w:p>
    <w:p>
      <w:pPr>
        <w:pStyle w:val="ListBullet"/>
      </w:pPr>
      <w:r>
        <w:rPr>
          <w:b/>
        </w:rPr>
        <w:t xml:space="preserve">Sub-Saharan Africa (6,031 km, 0 under construction) — an East African export story that is mostly stalled or mislabeled. </w:t>
      </w:r>
      <w:r>
        <w:rPr>
          <w:b w:val="0"/>
        </w:rPr>
        <w:t>EACOP (Uganda–Tanzania, 1,443 km) is the anchor but is carried as proposed even though it was ~82% complete in April 2026 with first oil targeted ~October 2026 (see flags). LAPSSET / Lamu–South Sudan (1,928 km across two rows) is a dormant pre-construction proposal on a 2030s horizon; Kenya’s own Turkana crude has pivoted to rail and trucking. Tazama (Tanzania–Zambia, 1,710 km) and Niger–Chad (600 km) round it out.</w:t>
      </w:r>
    </w:p>
    <w:p>
      <w:pPr>
        <w:pStyle w:val="ListBullet"/>
      </w:pPr>
      <w:r>
        <w:rPr>
          <w:b/>
        </w:rPr>
        <w:t xml:space="preserve">Latin America (5,693 km, 0 under construction) — Brazil, and likely overstated. </w:t>
      </w:r>
      <w:r>
        <w:rPr>
          <w:b w:val="0"/>
        </w:rPr>
        <w:t>All 4,969 km of Brazil’s in-development total is proposed and tagged NGL, spread across 14 rows that are largely competing route variants of one corridor: Araucária–Cuiabá (~1,567 km over 5 rows) and Uberaba–Cuiabá (~1,378 km over 3 rows) both terminate at Cuiabá, alongside Paulínia–Campo Grande (845 km) to a different Mato Grosso endpoint. External reporting describes a single ~2,000 km Paulínia→Mato Grosso corridor that is pre-FID, slated for post-2030, and carries diesel/gasoline/biofuels — not NGL. This is the largest single source of uncertainty in the regional ranking (see flags).</w:t>
      </w:r>
    </w:p>
    <w:p>
      <w:pPr>
        <w:pStyle w:val="ListBullet"/>
      </w:pPr>
      <w:r>
        <w:rPr>
          <w:b/>
        </w:rPr>
        <w:t xml:space="preserve">Central Asia (2,291 km, 0 under construction) — Kazakhstan’s diversification away from Russia/CPC. </w:t>
      </w:r>
      <w:r>
        <w:rPr>
          <w:b w:val="0"/>
        </w:rPr>
        <w:t>Kazakhstan–China (794 km), Eskene–Kuryk (765 km, under study), Trans-Caspian (700 km) and Kenkiyak–Atyrau (455 km). The momentum is real — Kashagan crude began flowing to China via Atasu–Alashankou in Dec 2025 after a drone strike on CPC’s Novorossiysk terminal, and Trans-Caspian/BTC volumes are growing — but it is captured as proposals and studies, not construction.</w:t>
      </w:r>
    </w:p>
    <w:p>
      <w:pPr>
        <w:pStyle w:val="ListBullet"/>
      </w:pPr>
      <w:r>
        <w:rPr>
          <w:b/>
        </w:rPr>
        <w:t xml:space="preserve">Eastern Asia &amp; Western Asia proposals. </w:t>
      </w:r>
      <w:r>
        <w:rPr>
          <w:b w:val="0"/>
        </w:rPr>
        <w:t>China’s 4,673 proposed km is led by Kashgar–Shanshan (1,278 km) plus the Shandong cluster. Iraq’s proposals — Iraq–Oman (1,717 km, an early MoU/storage concept with no route or financing) and Kirkuk–Baniyas (800 km, in feasibility) — are Hormuz-driven export-diversification ideas at a very early stage.</w:t>
      </w:r>
    </w:p>
    <w:p/>
    <w:p>
      <w:r>
        <w:rPr>
          <w:b/>
        </w:rPr>
        <w:t>Why now: the current-events frame (mid-June 2026)</w:t>
      </w:r>
    </w:p>
    <w:p>
      <w:r>
        <w:rPr>
          <w:b w:val="0"/>
        </w:rPr>
        <w:t>The Middle East and Central Asia proposals are best read against the Gulf export crisis. The Strait of Hormuz has been effectively closed to commercial tanker traffic since late February 2026; an Israel/US–Iran ceasefire reached in early April remains fragile and was extended 60 days on 11 June, but Hormuz transits were still near zero as of 14 June. Existing bypass capacity is running near its limit (Saudi East–West ~7 mb/d; UAE Habshan–Fujairah), and the UAE is rushing a new Fujairah line (~50% complete, ~2027). That pressure is what animates Iraq’s Basra–Aqaba/Haditha trunk (the one Middle East line actually moving to construction), the Iraq–Oman and Kirkuk–Baniyas concepts, and Kazakhstan’s Trans-Caspian and China routes. India’s build-out, by contrast, is demand-driven refinery/LPG infrastructure independent of the Gulf crisis.</w:t>
      </w:r>
    </w:p>
    <w:p/>
    <w:p>
      <w:r>
        <w:rPr>
          <w:b/>
        </w:rPr>
        <w:t>Data-quality flags worth a look before the numbers are quoted externally</w:t>
      </w:r>
    </w:p>
    <w:p>
      <w:pPr>
        <w:pStyle w:val="ListBullet"/>
      </w:pPr>
      <w:r>
        <w:rPr>
          <w:b/>
        </w:rPr>
        <w:t xml:space="preserve">EACOP is still “proposed” while ~82% built. </w:t>
      </w:r>
      <w:r>
        <w:rPr>
          <w:b w:val="0"/>
        </w:rPr>
        <w:t>P0541 (1,443 km) has ConstructionYear 2023 and StartYear 2025 yet sits in “proposed.” It was ~82% complete in April 2026 with first oil ~October 2026. As the single largest line in Sub-Saharan Africa’s buildout, this one mislabel materially distorts the region’s proposed-vs-construction split.</w:t>
      </w:r>
    </w:p>
    <w:p>
      <w:pPr>
        <w:pStyle w:val="ListBullet"/>
      </w:pPr>
      <w:r>
        <w:rPr>
          <w:b/>
        </w:rPr>
        <w:t xml:space="preserve">Vostok “duplicate” resolved — not a duplicate. </w:t>
      </w:r>
      <w:r>
        <w:rPr>
          <w:b w:val="0"/>
        </w:rPr>
        <w:t>P3675 and P7160 share the PipelineName “Vostok Oil Pipeline” but carry distinct SegmentNames (Vankor–Payakha–Sever Bay I and II) — two genuinely parallel 770 km lines. Counting both (1,540 km) is correct; no inflation of Russia or Eastern Europe construction.</w:t>
      </w:r>
    </w:p>
    <w:p>
      <w:pPr>
        <w:pStyle w:val="ListBullet"/>
      </w:pPr>
      <w:r>
        <w:rPr>
          <w:b/>
        </w:rPr>
        <w:t xml:space="preserve">Brazil’s NGL corridor may be over-counted and mis-fueled. </w:t>
      </w:r>
      <w:r>
        <w:rPr>
          <w:b w:val="0"/>
        </w:rPr>
        <w:t>The 14 Brazilian rows (4,969 km) include multiple competing route variants of what external sources describe as a single ~2,000 km Paulínia→Mato Grosso corridor, classified as NGL where reporting indicates refined products/biofuels. If consolidated to one project and reassessed for fuel type, Brazil drops well below its current #3 country ranking. Worth a data-team review.</w:t>
      </w:r>
    </w:p>
    <w:p>
      <w:pPr>
        <w:pStyle w:val="ListBullet"/>
      </w:pPr>
      <w:r>
        <w:rPr>
          <w:b/>
        </w:rPr>
        <w:t xml:space="preserve">LAPSSET (1,928 km) is on a 2030s horizon. </w:t>
      </w:r>
      <w:r>
        <w:rPr>
          <w:b w:val="0"/>
        </w:rPr>
        <w:t>Carried as “proposed” with StartYear 2024, but it is a dormant pre-construction corridor (financing not before 2027, construction 2028–2032) with inconclusive South Sudan commitment and security obstacles. Distinguishing “near-term proposed” from “long-horizon proposed” would sharpen the buildout read.</w:t>
      </w:r>
    </w:p>
    <w:p>
      <w:pPr>
        <w:pStyle w:val="ListBullet"/>
      </w:pPr>
      <w:r>
        <w:rPr>
          <w:b/>
        </w:rPr>
        <w:t xml:space="preserve">Blue Marlin Offshore Port (P7348) has StartYear 1974. </w:t>
      </w:r>
      <w:r>
        <w:rPr>
          <w:b w:val="0"/>
        </w:rPr>
        <w:t>A proposed US line (523 km, ProposalYear 2020) cannot have a 1974 start year — a likely data-entry error.</w:t>
      </w:r>
    </w:p>
    <w:p>
      <w:pPr>
        <w:pStyle w:val="ListBullet"/>
      </w:pPr>
      <w:r>
        <w:rPr>
          <w:b/>
        </w:rPr>
        <w:t xml:space="preserve">30 in-development rows (~7,229 km) have no Wiki URL, </w:t>
      </w:r>
      <w:r>
        <w:rPr>
          <w:b w:val="0"/>
        </w:rPr>
        <w:t>including several of the largest entries — Kashgar–Shanshan (1,278 km), Bridger Expansion (1,041 km), Paulínia–Campo Grande (845 km), Speedway (805 km), Hiland Express (744 km). Many are new this cycle and not yet documented.</w:t>
      </w:r>
    </w:p>
    <w:p/>
    <w:p>
      <w:r>
        <w:rPr>
          <w:b/>
        </w:rPr>
        <w:t>What changed since the 11–12 June cut</w:t>
      </w:r>
    </w:p>
    <w:p>
      <w:pPr>
        <w:pStyle w:val="ListBullet"/>
      </w:pPr>
      <w:r>
        <w:rPr>
          <w:b/>
        </w:rPr>
        <w:t xml:space="preserve">The Western Crude Oil Parallel mainline (P3749, 2,041 km, China) was moved from proposed to shelved, </w:t>
      </w:r>
      <w:r>
        <w:rPr>
          <w:b w:val="0"/>
        </w:rPr>
        <w:t>reversing the revival flagged in the earlier EDA and companion status review — consistent with the finding that no evidence supported the mainline advancing. This is the main reason Eastern Asia’s proposed total fell.</w:t>
      </w:r>
    </w:p>
    <w:p>
      <w:pPr>
        <w:pStyle w:val="ListBullet"/>
      </w:pPr>
      <w:r>
        <w:rPr>
          <w:b/>
        </w:rPr>
        <w:t xml:space="preserve">In-development length rose to 43,476 km (from ~39,908 km canonical), </w:t>
      </w:r>
      <w:r>
        <w:rPr>
          <w:b w:val="0"/>
        </w:rPr>
        <w:t>driven mainly by NGL entries (US gathering lines, the Brazil corridor, India’s Kandla–Gorakhpur), and the fuel taxonomy is now a clean two-bucket Oil/NGL split. Raw and canonical totals now agree, so the earlier double-counting reconciliation no longer applies.</w:t>
      </w:r>
    </w:p>
    <w:p/>
    <w:p>
      <w:r>
        <w:rPr>
          <w:b/>
        </w:rPr>
        <w:t>Key external sources (current-events claims)</w:t>
      </w:r>
    </w:p>
    <w:p>
      <w:pPr>
        <w:pStyle w:val="ListBullet"/>
      </w:pPr>
      <w:r>
        <w:t>Strait of Hormuz crisis / ceasefire status (June 2026): en.wikipedia.org/wiki/2026_Strait_of_Hormuz_crisis; worldoil.com (2 June 2026); cnbc.com (11 June 2026).</w:t>
      </w:r>
    </w:p>
    <w:p>
      <w:pPr>
        <w:pStyle w:val="ListBullet"/>
      </w:pPr>
      <w:r>
        <w:t>Saudi/UAE Hormuz-bypass capacity: fortune.com (28 Mar 2026); aljazeera.com (15 May 2026, UAE line acceleration).</w:t>
      </w:r>
    </w:p>
    <w:p>
      <w:pPr>
        <w:pStyle w:val="ListBullet"/>
      </w:pPr>
      <w:r>
        <w:t>EACOP ~82% / first oil Oct 2026: tanzaniainvest.com (2 Apr 2026); pipeline-journal.net.</w:t>
      </w:r>
    </w:p>
    <w:p>
      <w:pPr>
        <w:pStyle w:val="ListBullet"/>
      </w:pPr>
      <w:r>
        <w:t>India PNCPL ~85% / Dec 2026 commissioning: assamtribune.com (28 Jan 2026); energiesmedia.com (23 Feb 2026). Kandla–Gorakhpur delays: argusmedia.com.</w:t>
      </w:r>
    </w:p>
    <w:p>
      <w:pPr>
        <w:pStyle w:val="ListBullet"/>
      </w:pPr>
      <w:r>
        <w:t>Iraq Basra–Haditha/Aqaba tender &amp; start: agbi.com (8 Apr 2026); thenationalnews.com (1 May 2026). Iraq–Oman MoU: spglobal.com (14 Sep 2025).</w:t>
      </w:r>
    </w:p>
    <w:p>
      <w:pPr>
        <w:pStyle w:val="ListBullet"/>
      </w:pPr>
      <w:r>
        <w:t>Kazakhstan Kashagan→China &amp; Trans-Caspian/BTC growth: caspiannews.com (10 Dec 2025); astanatimes.com (14 Oct 2025).</w:t>
      </w:r>
    </w:p>
    <w:p>
      <w:pPr>
        <w:pStyle w:val="ListBullet"/>
      </w:pPr>
      <w:r>
        <w:t>Brazil Paulínia→Mato Grosso corridor (one project, products/biofuels, pre-FID): agenciainfra.com (11 Sep 2025); Petrobras PN 2026–2030 (28 Nov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