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As the Hormuz crisis grinds on, new GEM data maps a world still building for oil</w:t>
      </w:r>
    </w:p>
    <w:p>
      <w:r>
        <w:rPr>
          <w:b w:val="0"/>
        </w:rPr>
      </w:r>
    </w:p>
    <w:p>
      <w:r>
        <w:rPr>
          <w:b w:val="0"/>
        </w:rPr>
        <w:t>Global Energy Monitor's June 2026 update to the Global Oil Infrastructure Tracker (GOIT) arrives amid the largest supply disruption in the history of the oil market: since Iran declared the Strait of Hormuz closed in early March, flows through the chokepoint have fallen to a fraction of the roughly 20 million barrels per day before the war.</w:t>
      </w:r>
    </w:p>
    <w:p>
      <w:r>
        <w:rPr>
          <w:b w:val="0"/>
        </w:rPr>
        <w:t>As of this latest release, GOIT tracks 1,633 oil pipeline projects (some 487,000 km) and 292 NGL pipeline projects (about 111,000 km) worldwide, including roughly 27,800 km of operating crude and products pipelines across the eight countries ringing the Persian Gulf.</w:t>
      </w:r>
    </w:p>
    <w:p>
      <w:r>
        <w:rPr>
          <w:b w:val="0"/>
        </w:rPr>
        <w:t>The update finds roughly 32,400 km of oil pipelines in development worldwide — about 10,800 km under construction and 21,600 km proposed — representing an estimated US$98 billion in capital expenditure. This intended buildout remains heavily concentrated in Asia and Africa, which together account for about 80% of in-development km. Eastern Asia leads all subregions with roughly 6,200 km in development, followed by Sub-Saharan Africa (about 6,000 km) and Western Asia (about 5,400 km). By contrast, North America — home to the world's largest operating network at almost 117,000 km — has just 2,700 km in development, underscoring how new oil pipeline construction has shifted decisively toward Asia and Africa.</w:t>
      </w:r>
    </w:p>
    <w:p>
      <w:r>
        <w:rPr>
          <w:b w:val="0"/>
        </w:rPr>
        <w:t>Only a handful of overland routes can move Persian Gulf crude without transiting Hormuz, including Saudi Arabia's East–West line to the Red Sea, the UAE's Habshan–Fujairah line, and Iran's underused Goreh–Jask route. GOIT maps each at the asset level, with capacity, ownership, and status. The data also shows what could come back online: Iraq alone holds more than 1,000 km of mothballed export pipelines, and Western Asia together has roughly 4,800 km of idle or mothballed lines — long-dormant assets now part of rerouting discussions. [See our earlier briefing on Iran's oil and gas infrastructure — LINK.]</w:t>
      </w:r>
    </w:p>
    <w:p>
      <w:r>
        <w:rPr>
          <w:b w:val="0"/>
        </w:rPr>
        <w:t>The takeaway: even as one chokepoint closes, the world keeps building exposure to the next one. Full data, route maps, and summary tables are freely available on the GOIT tracker page (https://globalenergymonitor.org/projects/global-oil-infrastructure-tracker).</w:t>
      </w:r>
    </w:p>
    <w:p>
      <w:r>
        <w:rPr>
          <w:b w:val="0"/>
        </w:rPr>
      </w:r>
    </w:p>
    <w:p>
      <w:r>
        <w:rPr>
          <w:b/>
        </w:rPr>
        <w:t>Caveats to resolve before publishing</w:t>
      </w:r>
    </w:p>
    <w:p>
      <w:pPr>
        <w:pStyle w:val="ListBullet"/>
      </w:pPr>
      <w:r>
        <w:rPr>
          <w:b/>
        </w:rPr>
        <w:t xml:space="preserve">Numbers basis. </w:t>
      </w:r>
      <w:r>
        <w:t>All figures come from the 2026-06-15 re-run of the summary notebook with the ratios-side Wiki != "" filter removed, so every pipeline counts whether or not it has a wiki page. Headline counts and total km are confirmed against the release download workbook (1,633 oil / 486,759 km; 292 NGL / 111,500 km).</w:t>
      </w:r>
    </w:p>
    <w:p>
      <w:pPr>
        <w:pStyle w:val="ListBullet"/>
      </w:pPr>
      <w:r>
        <w:rPr>
          <w:b/>
        </w:rPr>
        <w:t xml:space="preserve">README still stale. </w:t>
      </w:r>
      <w:r>
        <w:t>The summary-sheets README quick-stats header still shows the pre-correction figures (1,507 oil / 0.381M km / 26.1K in development). Refresh it to the corrected numbers (1,633 / ~487,000 / ~32,400 in development) before anyone cites it.</w:t>
      </w:r>
    </w:p>
    <w:p>
      <w:pPr>
        <w:pStyle w:val="ListBullet"/>
      </w:pPr>
      <w:r>
        <w:rPr>
          <w:b/>
        </w:rPr>
        <w:t xml:space="preserve">"Middle East" isn't a data category. </w:t>
      </w:r>
      <w:r>
        <w:t>Iran sits in Southern Asia in the country dictionary (UN geoscheme), so the Western Asia row excludes it. The 27,800 km Gulf figure is a country-level sum (Iran 9,591 + Iraq 7,082 + Saudi Arabia 5,944 + UAE 1,995 + Kuwait 1,279 + Oman 1,063 + Qatar 687 + Bahrain 142). Don't swap in the Western Asia subregion row for any "Middle East" claim.</w:t>
      </w:r>
    </w:p>
    <w:p>
      <w:pPr>
        <w:pStyle w:val="ListBullet"/>
      </w:pPr>
      <w:r>
        <w:rPr>
          <w:b/>
        </w:rPr>
        <w:t xml:space="preserve">Türkiye lookup resolved. </w:t>
      </w:r>
      <w:r>
        <w:t>Türkiye now appears in the country tables (about 2,639 km operating), so the earlier naming-gap concern is cleared — Ceyhan-area assets are captured.</w:t>
      </w:r>
    </w:p>
    <w:p>
      <w:pPr>
        <w:pStyle w:val="ListBullet"/>
      </w:pPr>
      <w:r>
        <w:rPr>
          <w:b/>
        </w:rPr>
        <w:t xml:space="preserve">Capex is estimated. </w:t>
      </w:r>
      <w:r>
        <w:t>Capex figures are GEM estimates (subregional cost-per-km means with project-cost overrides) — keep the "estimated" hedging.</w:t>
      </w:r>
    </w:p>
    <w:p>
      <w:pPr>
        <w:pStyle w:val="ListBullet"/>
      </w:pPr>
      <w:r>
        <w:rPr>
          <w:b/>
        </w:rPr>
        <w:t xml:space="preserve">Crisis numbers move fast. </w:t>
      </w:r>
      <w:r>
        <w:t>The ~3.8 mb/d Hormuz flow figure is from the IEA's April report; re-verify against the latest OMR on publication day. The prose says "a fraction of pre-crisis levels" to avoid hard-coding it.</w:t>
      </w:r>
    </w:p>
    <w:p>
      <w:pPr>
        <w:pStyle w:val="ListBullet"/>
      </w:pPr>
      <w:r>
        <w:rPr>
          <w:b/>
        </w:rPr>
        <w:t xml:space="preserve">Iran briefing link. </w:t>
      </w:r>
      <w:r>
        <w:t>The GEM Iran briefing link still needs the real URL for the bracketed placeholder above.</w:t>
      </w:r>
    </w:p>
    <w:p>
      <w:r>
        <w:rPr>
          <w:b w:val="0"/>
        </w:rPr>
      </w:r>
    </w:p>
    <w:p>
      <w:r>
        <w:rPr>
          <w:b/>
        </w:rPr>
        <w:t>Sources</w:t>
      </w:r>
    </w:p>
    <w:p>
      <w:pPr>
        <w:pStyle w:val="ListBullet"/>
      </w:pPr>
      <w:r>
        <w:t>Wikipedia — 2026 Iran war fuel crisis: https://en.wikipedia.org/wiki/2026_Iran_war_fuel_crisis</w:t>
      </w:r>
    </w:p>
    <w:p>
      <w:pPr>
        <w:pStyle w:val="ListBullet"/>
      </w:pPr>
      <w:r>
        <w:t>IEA Oil Market Report — April 2026: https://www.iea.org/reports/oil-market-report-april-2026</w:t>
      </w:r>
    </w:p>
    <w:p>
      <w:pPr>
        <w:pStyle w:val="ListBullet"/>
      </w:pPr>
      <w:r>
        <w:t>EIA — Strait of Hormuz chokepoint: https://www.eia.gov/todayinenergy/detail.php?id=65504</w:t>
      </w:r>
    </w:p>
    <w:p>
      <w:pPr>
        <w:pStyle w:val="ListBullet"/>
      </w:pPr>
      <w:r>
        <w:t>CNBC — Hormuz standoff and the energy security debate: https://www.cnbc.com/amp/2026/06/05/iran-war-strait-of-hormuz-renewables-oil-gas.html</w:t>
      </w:r>
    </w:p>
    <w:p>
      <w:pPr>
        <w:pStyle w:val="ListBullet"/>
      </w:pPr>
      <w:r>
        <w:t>GOIT tracker page: https://globalenergymonitor.org/projects/global-oil-infrastructure-tracker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