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GOIT release diff: June 2025 → June 2026 — full findings</w:t>
      </w:r>
    </w:p>
    <w:p>
      <w:r>
        <w:rPr>
          <w:b w:val="0"/>
        </w:rPr>
        <w:t>Prepared 12 June 2026. Compares GEM-GOIT-Oil-NGL-Pipelines-2026-06.xlsx against the previous release file GEM-GOIT-Oil-NGL-Pipelines-2025-06.geojson (1,874 features including unmapped rows), matched on ProjectID. Companion to the June 2026 EDA briefing; the Western Crude Oil Parallel Pipeline revival has its own status-review memo.</w:t>
      </w:r>
    </w:p>
    <w:p/>
    <w:p>
      <w:r>
        <w:rPr>
          <w:b/>
        </w:rPr>
        <w:t>Overview</w:t>
      </w:r>
    </w:p>
    <w:p>
      <w:pPr>
        <w:pStyle w:val="ListBullet"/>
      </w:pPr>
      <w:r>
        <w:t>Rows: 1,874 → 1,925 (114 added, 63 removed; net +51).</w:t>
      </w:r>
    </w:p>
    <w:p>
      <w:pPr>
        <w:pStyle w:val="ListBullet"/>
      </w:pPr>
      <w:r>
        <w:t>Total tracked length: ~594,400 km → ~598,300 km (+3,900 km), raw LengthMergedKm sums computed identically on both files.</w:t>
      </w:r>
    </w:p>
    <w:p>
      <w:pPr>
        <w:pStyle w:val="ListBullet"/>
      </w:pPr>
      <w:r>
        <w:t>In-development length (proposed + construction): 48,448 km → 47,136 km (−1,312 km). Even as construction-stage entries grew, the overall pipeline of pipelines shrank — kilometers moved from speculative proposals toward resolution (online, shelved/cancelled, or consolidated).</w:t>
      </w:r>
    </w:p>
    <w:p>
      <w:pPr>
        <w:pStyle w:val="ListBullet"/>
      </w:pPr>
      <w:r>
        <w:t>Status recodings on surviving rows: 94. Fuel taxonomy collapsed from six mixed labels in 2025-06 (Oil; NGL; Oil, NGL; LPG; NGL, oil products; Oil, NGL, naphtha) to two clean buckets (Oil, NGL), matching the gem-tracker-constants fuel buckets used by the summary sheets.</w:t>
      </w:r>
    </w:p>
    <w:p/>
    <w:p>
      <w:r>
        <w:rPr>
          <w:b/>
        </w:rPr>
        <w:t>Additions (114 rows)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Status of added rows</w:t>
            </w:r>
          </w:p>
        </w:tc>
        <w:tc>
          <w:tcPr>
            <w:tcW w:type="dxa" w:w="2880"/>
          </w:tcPr>
          <w:p>
            <w:r/>
            <w:r>
              <w:rPr>
                <w:rFonts w:ascii="Calibri" w:hAnsi="Calibri"/>
                <w:b/>
                <w:sz w:val="20"/>
              </w:rPr>
              <w:t>Rows</w:t>
            </w:r>
          </w:p>
        </w:tc>
        <w:tc>
          <w:tcPr>
            <w:tcW w:type="dxa" w:w="2880"/>
          </w:tcPr>
          <w:p>
            <w:r/>
            <w:r>
              <w:rPr>
                <w:rFonts w:ascii="Calibri" w:hAnsi="Calibri"/>
                <w:b/>
                <w:sz w:val="20"/>
              </w:rPr>
              <w:t>km</w:t>
            </w:r>
          </w:p>
        </w:tc>
      </w:tr>
      <w:tr>
        <w:tc>
          <w:tcPr>
            <w:tcW w:type="dxa" w:w="2880"/>
          </w:tcPr>
          <w:p>
            <w:r/>
            <w:r>
              <w:rPr>
                <w:rFonts w:ascii="Calibri" w:hAnsi="Calibri"/>
                <w:b/>
                <w:sz w:val="20"/>
              </w:rPr>
              <w:t>operating</w:t>
            </w:r>
          </w:p>
        </w:tc>
        <w:tc>
          <w:tcPr>
            <w:tcW w:type="dxa" w:w="2880"/>
          </w:tcPr>
          <w:p>
            <w:pPr>
              <w:jc w:val="right"/>
            </w:pPr>
            <w:r/>
            <w:r>
              <w:rPr>
                <w:rFonts w:ascii="Calibri" w:hAnsi="Calibri"/>
                <w:sz w:val="20"/>
              </w:rPr>
              <w:t>84</w:t>
            </w:r>
          </w:p>
        </w:tc>
        <w:tc>
          <w:tcPr>
            <w:tcW w:type="dxa" w:w="2880"/>
          </w:tcPr>
          <w:p>
            <w:pPr>
              <w:jc w:val="right"/>
            </w:pPr>
            <w:r/>
            <w:r>
              <w:rPr>
                <w:rFonts w:ascii="Calibri" w:hAnsi="Calibri"/>
                <w:sz w:val="20"/>
              </w:rPr>
              <w:t>15,203</w:t>
            </w:r>
          </w:p>
        </w:tc>
      </w:tr>
      <w:tr>
        <w:tc>
          <w:tcPr>
            <w:tcW w:type="dxa" w:w="2880"/>
          </w:tcPr>
          <w:p>
            <w:r/>
            <w:r>
              <w:rPr>
                <w:rFonts w:ascii="Calibri" w:hAnsi="Calibri"/>
                <w:b/>
                <w:sz w:val="20"/>
              </w:rPr>
              <w:t>proposed</w:t>
            </w:r>
          </w:p>
        </w:tc>
        <w:tc>
          <w:tcPr>
            <w:tcW w:type="dxa" w:w="2880"/>
          </w:tcPr>
          <w:p>
            <w:pPr>
              <w:jc w:val="right"/>
            </w:pPr>
            <w:r/>
            <w:r>
              <w:rPr>
                <w:rFonts w:ascii="Calibri" w:hAnsi="Calibri"/>
                <w:sz w:val="20"/>
              </w:rPr>
              <w:t>14</w:t>
            </w:r>
          </w:p>
        </w:tc>
        <w:tc>
          <w:tcPr>
            <w:tcW w:type="dxa" w:w="2880"/>
          </w:tcPr>
          <w:p>
            <w:pPr>
              <w:jc w:val="right"/>
            </w:pPr>
            <w:r/>
            <w:r>
              <w:rPr>
                <w:rFonts w:ascii="Calibri" w:hAnsi="Calibri"/>
                <w:sz w:val="20"/>
              </w:rPr>
              <w:t>5,999</w:t>
            </w:r>
          </w:p>
        </w:tc>
      </w:tr>
      <w:tr>
        <w:tc>
          <w:tcPr>
            <w:tcW w:type="dxa" w:w="2880"/>
          </w:tcPr>
          <w:p>
            <w:r/>
            <w:r>
              <w:rPr>
                <w:rFonts w:ascii="Calibri" w:hAnsi="Calibri"/>
                <w:b/>
                <w:sz w:val="20"/>
              </w:rPr>
              <w:t>construction</w:t>
            </w:r>
          </w:p>
        </w:tc>
        <w:tc>
          <w:tcPr>
            <w:tcW w:type="dxa" w:w="2880"/>
          </w:tcPr>
          <w:p>
            <w:pPr>
              <w:jc w:val="right"/>
            </w:pPr>
            <w:r/>
            <w:r>
              <w:rPr>
                <w:rFonts w:ascii="Calibri" w:hAnsi="Calibri"/>
                <w:sz w:val="20"/>
              </w:rPr>
              <w:t>13</w:t>
            </w:r>
          </w:p>
        </w:tc>
        <w:tc>
          <w:tcPr>
            <w:tcW w:type="dxa" w:w="2880"/>
          </w:tcPr>
          <w:p>
            <w:pPr>
              <w:jc w:val="right"/>
            </w:pPr>
            <w:r/>
            <w:r>
              <w:rPr>
                <w:rFonts w:ascii="Calibri" w:hAnsi="Calibri"/>
                <w:sz w:val="20"/>
              </w:rPr>
              <w:t>5,649</w:t>
            </w:r>
          </w:p>
        </w:tc>
      </w:tr>
      <w:tr>
        <w:tc>
          <w:tcPr>
            <w:tcW w:type="dxa" w:w="2880"/>
          </w:tcPr>
          <w:p>
            <w:r/>
            <w:r>
              <w:rPr>
                <w:rFonts w:ascii="Calibri" w:hAnsi="Calibri"/>
                <w:b/>
                <w:sz w:val="20"/>
              </w:rPr>
              <w:t>retired</w:t>
            </w:r>
          </w:p>
        </w:tc>
        <w:tc>
          <w:tcPr>
            <w:tcW w:type="dxa" w:w="2880"/>
          </w:tcPr>
          <w:p>
            <w:pPr>
              <w:jc w:val="right"/>
            </w:pPr>
            <w:r/>
            <w:r>
              <w:rPr>
                <w:rFonts w:ascii="Calibri" w:hAnsi="Calibri"/>
                <w:sz w:val="20"/>
              </w:rPr>
              <w:t>1</w:t>
            </w:r>
          </w:p>
        </w:tc>
        <w:tc>
          <w:tcPr>
            <w:tcW w:type="dxa" w:w="2880"/>
          </w:tcPr>
          <w:p>
            <w:pPr>
              <w:jc w:val="right"/>
            </w:pPr>
            <w:r/>
            <w:r>
              <w:rPr>
                <w:rFonts w:ascii="Calibri" w:hAnsi="Calibri"/>
                <w:sz w:val="20"/>
              </w:rPr>
              <w:t>997</w:t>
            </w:r>
          </w:p>
        </w:tc>
      </w:tr>
      <w:tr>
        <w:tc>
          <w:tcPr>
            <w:tcW w:type="dxa" w:w="2880"/>
          </w:tcPr>
          <w:p>
            <w:r/>
            <w:r>
              <w:rPr>
                <w:rFonts w:ascii="Calibri" w:hAnsi="Calibri"/>
                <w:b/>
                <w:sz w:val="20"/>
              </w:rPr>
              <w:t>idle</w:t>
            </w:r>
          </w:p>
        </w:tc>
        <w:tc>
          <w:tcPr>
            <w:tcW w:type="dxa" w:w="2880"/>
          </w:tcPr>
          <w:p>
            <w:pPr>
              <w:jc w:val="right"/>
            </w:pPr>
            <w:r/>
            <w:r>
              <w:rPr>
                <w:rFonts w:ascii="Calibri" w:hAnsi="Calibri"/>
                <w:sz w:val="20"/>
              </w:rPr>
              <w:t>1</w:t>
            </w:r>
          </w:p>
        </w:tc>
        <w:tc>
          <w:tcPr>
            <w:tcW w:type="dxa" w:w="2880"/>
          </w:tcPr>
          <w:p>
            <w:pPr>
              <w:jc w:val="right"/>
            </w:pPr>
            <w:r/>
            <w:r>
              <w:rPr>
                <w:rFonts w:ascii="Calibri" w:hAnsi="Calibri"/>
                <w:sz w:val="20"/>
              </w:rPr>
              <w:t>663</w:t>
            </w:r>
          </w:p>
        </w:tc>
      </w:tr>
      <w:tr>
        <w:tc>
          <w:tcPr>
            <w:tcW w:type="dxa" w:w="2880"/>
          </w:tcPr>
          <w:p>
            <w:r/>
            <w:r>
              <w:rPr>
                <w:rFonts w:ascii="Calibri" w:hAnsi="Calibri"/>
                <w:b/>
                <w:sz w:val="20"/>
              </w:rPr>
              <w:t>mothballed</w:t>
            </w:r>
          </w:p>
        </w:tc>
        <w:tc>
          <w:tcPr>
            <w:tcW w:type="dxa" w:w="2880"/>
          </w:tcPr>
          <w:p>
            <w:pPr>
              <w:jc w:val="right"/>
            </w:pPr>
            <w:r/>
            <w:r>
              <w:rPr>
                <w:rFonts w:ascii="Calibri" w:hAnsi="Calibri"/>
                <w:sz w:val="20"/>
              </w:rPr>
              <w:t>1</w:t>
            </w:r>
          </w:p>
        </w:tc>
        <w:tc>
          <w:tcPr>
            <w:tcW w:type="dxa" w:w="2880"/>
          </w:tcPr>
          <w:p>
            <w:pPr>
              <w:jc w:val="right"/>
            </w:pPr>
            <w:r/>
            <w:r>
              <w:rPr>
                <w:rFonts w:ascii="Calibri" w:hAnsi="Calibri"/>
                <w:sz w:val="20"/>
              </w:rPr>
              <w:t>150</w:t>
            </w:r>
          </w:p>
        </w:tc>
      </w:tr>
    </w:tbl>
    <w:p/>
    <w:p>
      <w:pPr>
        <w:pStyle w:val="ListBullet"/>
      </w:pPr>
      <w:r>
        <w:rPr>
          <w:b/>
        </w:rPr>
        <w:t xml:space="preserve">Mostly back-catalog research, not new construction. </w:t>
      </w:r>
      <w:r>
        <w:rPr>
          <w:b w:val="0"/>
        </w:rPr>
        <w:t>The 84 added operating rows are concentrated in Canada (Rangeland 1,099 km, Rainbow 781, Manito 716), Nigeria (national crude/products network entries, 1,080 + 727 km), and India (Paradip–Haldia–Barauni–Motihari LPG, 1,710 km). Historical/contextual entries were also added: Kirkuk–Haifa (997 km, retired) and Tal Adas–Tartus (663 km, idle, Syria).</w:t>
      </w:r>
    </w:p>
    <w:p>
      <w:pPr>
        <w:pStyle w:val="ListBullet"/>
      </w:pPr>
      <w:r>
        <w:rPr>
          <w:b/>
        </w:rPr>
        <w:t xml:space="preserve">Genuinely new in-development entries (~11,650 km): </w:t>
      </w:r>
      <w:r>
        <w:rPr>
          <w:b w:val="0"/>
        </w:rPr>
        <w:t>Kandla–Gorakhpur LPG (2,805 km, construction — new to the tracker despite being the world’s longest LPG line), Iraq–Oman (1,717 km, proposed), Bridger Pipeline Expansion (1,041 km, proposed), Paulínia–Campo Grande NGL (845 km, proposed), Kirkuk–Baniyas re-entry under a new ID (800 km, proposed), Speedway NGL (805 km, construction), Hiland Express (744 km, construction).</w:t>
      </w:r>
    </w:p>
    <w:p/>
    <w:p>
      <w:r>
        <w:rPr>
          <w:b/>
        </w:rPr>
        <w:t>Removals (63 rows, ~22,300 km)</w:t>
      </w:r>
    </w:p>
    <w:p>
      <w:pPr>
        <w:pStyle w:val="ListBullet"/>
      </w:pPr>
      <w:r>
        <w:rPr>
          <w:b/>
        </w:rPr>
        <w:t xml:space="preserve">Re-IDs and consolidations, not data loss (~9,600 km): </w:t>
      </w:r>
      <w:r>
        <w:rPr>
          <w:b w:val="0"/>
        </w:rPr>
        <w:t>20 removed rows have pipeline names that persist in the new release under different ProjectIDs — e.g., NATO Pipeline System (2 × 1,602 km), Pakistan–China (3,600 km, cancelled), Kirkuk–Baniyas restructuring. Downstream users joining on ProjectID across releases should expect this churn.</w:t>
      </w:r>
    </w:p>
    <w:p>
      <w:pPr>
        <w:pStyle w:val="ListBullet"/>
      </w:pPr>
      <w:r>
        <w:rPr>
          <w:b/>
        </w:rPr>
        <w:t xml:space="preserve">Genuine deletions (~12,800 km), concentrated in Iran: </w:t>
      </w:r>
      <w:r>
        <w:rPr>
          <w:b w:val="0"/>
        </w:rPr>
        <w:t>Ray–Tabriz (1,721 km), Abadan–Ahvaz–Arak–Tehran (650), Baghein PS–Isfahan (597), Bandar Abbas–Rafsanjan (450), Mehraran–Shiraz (400, was construction), Ray–Ideloo (346) — consistent with the Iran/Iraq network consolidation work this cycle. Also deleted: Basra–North Baghdad–Syria (2 × 1,248 km), Bin Omar–Baiji K2 (750), Messla–Ras Lanuf (461), Northeast Thailand (342).</w:t>
      </w:r>
    </w:p>
    <w:p>
      <w:pPr>
        <w:pStyle w:val="ListBullet"/>
      </w:pPr>
      <w:r>
        <w:rPr>
          <w:b/>
        </w:rPr>
        <w:t xml:space="preserve">Flag — Angola–Zambia proposed line (1,400 km) deleted outright. </w:t>
      </w:r>
      <w:r>
        <w:rPr>
          <w:b w:val="0"/>
        </w:rPr>
        <w:t>Zambia’s cabinet approved two cross-border fuel pipelines in March 2026 (Tanzania and Angola/Lobito routes) as part of its "two-ocean" strategy. If the deletion was a scope call (refined products), fine; otherwise a candidate for re-adding.</w:t>
      </w:r>
    </w:p>
    <w:p/>
    <w:p>
      <w:r>
        <w:rPr>
          <w:b/>
        </w:rPr>
        <w:t>Status changes on surviving rows (94 recodings)</w:t>
      </w:r>
    </w:p>
    <w:p>
      <w:r>
        <w:rPr>
          <w:b w:val="0"/>
        </w:rPr>
        <w:t>Transition matrix (number of rows, old status in rows × new status in columns):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Calibri" w:hAnsi="Calibri"/>
                <w:b/>
                <w:sz w:val="20"/>
              </w:rPr>
              <w:t>old \ new</w:t>
            </w:r>
          </w:p>
        </w:tc>
        <w:tc>
          <w:tcPr>
            <w:tcW w:type="dxa" w:w="1080"/>
          </w:tcPr>
          <w:p>
            <w:r/>
            <w:r>
              <w:rPr>
                <w:rFonts w:ascii="Calibri" w:hAnsi="Calibri"/>
                <w:b/>
                <w:sz w:val="20"/>
              </w:rPr>
              <w:t>cancelled</w:t>
            </w:r>
          </w:p>
        </w:tc>
        <w:tc>
          <w:tcPr>
            <w:tcW w:type="dxa" w:w="1080"/>
          </w:tcPr>
          <w:p>
            <w:r/>
            <w:r>
              <w:rPr>
                <w:rFonts w:ascii="Calibri" w:hAnsi="Calibri"/>
                <w:b/>
                <w:sz w:val="20"/>
              </w:rPr>
              <w:t>construction</w:t>
            </w:r>
          </w:p>
        </w:tc>
        <w:tc>
          <w:tcPr>
            <w:tcW w:type="dxa" w:w="1080"/>
          </w:tcPr>
          <w:p>
            <w:r/>
            <w:r>
              <w:rPr>
                <w:rFonts w:ascii="Calibri" w:hAnsi="Calibri"/>
                <w:b/>
                <w:sz w:val="20"/>
              </w:rPr>
              <w:t>idle</w:t>
            </w:r>
          </w:p>
        </w:tc>
        <w:tc>
          <w:tcPr>
            <w:tcW w:type="dxa" w:w="1080"/>
          </w:tcPr>
          <w:p>
            <w:r/>
            <w:r>
              <w:rPr>
                <w:rFonts w:ascii="Calibri" w:hAnsi="Calibri"/>
                <w:b/>
                <w:sz w:val="20"/>
              </w:rPr>
              <w:t>operating</w:t>
            </w:r>
          </w:p>
        </w:tc>
        <w:tc>
          <w:tcPr>
            <w:tcW w:type="dxa" w:w="1080"/>
          </w:tcPr>
          <w:p>
            <w:r/>
            <w:r>
              <w:rPr>
                <w:rFonts w:ascii="Calibri" w:hAnsi="Calibri"/>
                <w:b/>
                <w:sz w:val="20"/>
              </w:rPr>
              <w:t>proposed</w:t>
            </w:r>
          </w:p>
        </w:tc>
        <w:tc>
          <w:tcPr>
            <w:tcW w:type="dxa" w:w="1080"/>
          </w:tcPr>
          <w:p>
            <w:r/>
            <w:r>
              <w:rPr>
                <w:rFonts w:ascii="Calibri" w:hAnsi="Calibri"/>
                <w:b/>
                <w:sz w:val="20"/>
              </w:rPr>
              <w:t>retired</w:t>
            </w:r>
          </w:p>
        </w:tc>
        <w:tc>
          <w:tcPr>
            <w:tcW w:type="dxa" w:w="1080"/>
          </w:tcPr>
          <w:p>
            <w:r/>
            <w:r>
              <w:rPr>
                <w:rFonts w:ascii="Calibri" w:hAnsi="Calibri"/>
                <w:b/>
                <w:sz w:val="20"/>
              </w:rPr>
              <w:t>shelved</w:t>
            </w:r>
          </w:p>
        </w:tc>
      </w:tr>
      <w:tr>
        <w:tc>
          <w:tcPr>
            <w:tcW w:type="dxa" w:w="1080"/>
          </w:tcPr>
          <w:p>
            <w:r/>
            <w:r>
              <w:rPr>
                <w:rFonts w:ascii="Calibri" w:hAnsi="Calibri"/>
                <w:b/>
                <w:sz w:val="20"/>
              </w:rPr>
              <w:t>cancelled</w:t>
            </w:r>
          </w:p>
        </w:tc>
        <w:tc>
          <w:tcPr>
            <w:tcW w:type="dxa" w:w="1080"/>
          </w:tcPr>
          <w:p>
            <w:pPr>
              <w:jc w:val="right"/>
            </w:pPr>
            <w:r/>
            <w:r>
              <w:rPr>
                <w:rFonts w:ascii="Calibri" w:hAnsi="Calibri"/>
                <w:sz w:val="20"/>
              </w:rPr>
              <w:t>—</w:t>
            </w:r>
          </w:p>
        </w:tc>
        <w:tc>
          <w:tcPr>
            <w:tcW w:type="dxa" w:w="1080"/>
          </w:tcPr>
          <w:p>
            <w:pPr>
              <w:jc w:val="right"/>
            </w:pPr>
            <w:r/>
            <w:r>
              <w:rPr>
                <w:rFonts w:ascii="Calibri" w:hAnsi="Calibri"/>
                <w:sz w:val="20"/>
              </w:rPr>
            </w:r>
          </w:p>
        </w:tc>
        <w:tc>
          <w:tcPr>
            <w:tcW w:type="dxa" w:w="1080"/>
          </w:tcPr>
          <w:p>
            <w:pPr>
              <w:jc w:val="right"/>
            </w:pPr>
            <w:r/>
            <w:r>
              <w:rPr>
                <w:rFonts w:ascii="Calibri" w:hAnsi="Calibri"/>
                <w:sz w:val="20"/>
              </w:rPr>
            </w:r>
          </w:p>
        </w:tc>
        <w:tc>
          <w:tcPr>
            <w:tcW w:type="dxa" w:w="1080"/>
          </w:tcPr>
          <w:p>
            <w:pPr>
              <w:jc w:val="right"/>
            </w:pPr>
            <w:r/>
            <w:r>
              <w:rPr>
                <w:rFonts w:ascii="Calibri" w:hAnsi="Calibri"/>
                <w:sz w:val="20"/>
              </w:rPr>
              <w:t>1</w:t>
            </w:r>
          </w:p>
        </w:tc>
        <w:tc>
          <w:tcPr>
            <w:tcW w:type="dxa" w:w="1080"/>
          </w:tcPr>
          <w:p>
            <w:pPr>
              <w:jc w:val="right"/>
            </w:pPr>
            <w:r/>
            <w:r>
              <w:rPr>
                <w:rFonts w:ascii="Calibri" w:hAnsi="Calibri"/>
                <w:sz w:val="20"/>
              </w:rPr>
              <w:t>1</w:t>
            </w:r>
          </w:p>
        </w:tc>
        <w:tc>
          <w:tcPr>
            <w:tcW w:type="dxa" w:w="1080"/>
          </w:tcPr>
          <w:p>
            <w:pPr>
              <w:jc w:val="right"/>
            </w:pPr>
            <w:r/>
            <w:r>
              <w:rPr>
                <w:rFonts w:ascii="Calibri" w:hAnsi="Calibri"/>
                <w:sz w:val="20"/>
              </w:rPr>
            </w:r>
          </w:p>
        </w:tc>
        <w:tc>
          <w:tcPr>
            <w:tcW w:type="dxa" w:w="1080"/>
          </w:tcPr>
          <w:p>
            <w:pPr>
              <w:jc w:val="right"/>
            </w:pPr>
            <w:r/>
            <w:r>
              <w:rPr>
                <w:rFonts w:ascii="Calibri" w:hAnsi="Calibri"/>
                <w:sz w:val="20"/>
              </w:rPr>
              <w:t>1</w:t>
            </w:r>
          </w:p>
        </w:tc>
      </w:tr>
      <w:tr>
        <w:tc>
          <w:tcPr>
            <w:tcW w:type="dxa" w:w="1080"/>
          </w:tcPr>
          <w:p>
            <w:r/>
            <w:r>
              <w:rPr>
                <w:rFonts w:ascii="Calibri" w:hAnsi="Calibri"/>
                <w:b/>
                <w:sz w:val="20"/>
              </w:rPr>
              <w:t>construction</w:t>
            </w:r>
          </w:p>
        </w:tc>
        <w:tc>
          <w:tcPr>
            <w:tcW w:type="dxa" w:w="1080"/>
          </w:tcPr>
          <w:p>
            <w:pPr>
              <w:jc w:val="right"/>
            </w:pPr>
            <w:r/>
            <w:r>
              <w:rPr>
                <w:rFonts w:ascii="Calibri" w:hAnsi="Calibri"/>
                <w:sz w:val="20"/>
              </w:rPr>
              <w:t>1</w:t>
            </w:r>
          </w:p>
        </w:tc>
        <w:tc>
          <w:tcPr>
            <w:tcW w:type="dxa" w:w="1080"/>
          </w:tcPr>
          <w:p>
            <w:pPr>
              <w:jc w:val="right"/>
            </w:pPr>
            <w:r/>
            <w:r>
              <w:rPr>
                <w:rFonts w:ascii="Calibri" w:hAnsi="Calibri"/>
                <w:sz w:val="20"/>
              </w:rPr>
              <w:t>—</w:t>
            </w:r>
          </w:p>
        </w:tc>
        <w:tc>
          <w:tcPr>
            <w:tcW w:type="dxa" w:w="1080"/>
          </w:tcPr>
          <w:p>
            <w:pPr>
              <w:jc w:val="right"/>
            </w:pPr>
            <w:r/>
            <w:r>
              <w:rPr>
                <w:rFonts w:ascii="Calibri" w:hAnsi="Calibri"/>
                <w:sz w:val="20"/>
              </w:rPr>
            </w:r>
          </w:p>
        </w:tc>
        <w:tc>
          <w:tcPr>
            <w:tcW w:type="dxa" w:w="1080"/>
          </w:tcPr>
          <w:p>
            <w:pPr>
              <w:jc w:val="right"/>
            </w:pPr>
            <w:r/>
            <w:r>
              <w:rPr>
                <w:rFonts w:ascii="Calibri" w:hAnsi="Calibri"/>
                <w:sz w:val="20"/>
              </w:rPr>
              <w:t>24</w:t>
            </w:r>
          </w:p>
        </w:tc>
        <w:tc>
          <w:tcPr>
            <w:tcW w:type="dxa" w:w="1080"/>
          </w:tcPr>
          <w:p>
            <w:pPr>
              <w:jc w:val="right"/>
            </w:pPr>
            <w:r/>
            <w:r>
              <w:rPr>
                <w:rFonts w:ascii="Calibri" w:hAnsi="Calibri"/>
                <w:sz w:val="20"/>
              </w:rPr>
              <w:t>2</w:t>
            </w:r>
          </w:p>
        </w:tc>
        <w:tc>
          <w:tcPr>
            <w:tcW w:type="dxa" w:w="1080"/>
          </w:tcPr>
          <w:p>
            <w:pPr>
              <w:jc w:val="right"/>
            </w:pPr>
            <w:r/>
            <w:r>
              <w:rPr>
                <w:rFonts w:ascii="Calibri" w:hAnsi="Calibri"/>
                <w:sz w:val="20"/>
              </w:rPr>
            </w:r>
          </w:p>
        </w:tc>
        <w:tc>
          <w:tcPr>
            <w:tcW w:type="dxa" w:w="1080"/>
          </w:tcPr>
          <w:p>
            <w:pPr>
              <w:jc w:val="right"/>
            </w:pPr>
            <w:r/>
            <w:r>
              <w:rPr>
                <w:rFonts w:ascii="Calibri" w:hAnsi="Calibri"/>
                <w:sz w:val="20"/>
              </w:rPr>
              <w:t>2</w:t>
            </w:r>
          </w:p>
        </w:tc>
      </w:tr>
      <w:tr>
        <w:tc>
          <w:tcPr>
            <w:tcW w:type="dxa" w:w="1080"/>
          </w:tcPr>
          <w:p>
            <w:r/>
            <w:r>
              <w:rPr>
                <w:rFonts w:ascii="Calibri" w:hAnsi="Calibri"/>
                <w:b/>
                <w:sz w:val="20"/>
              </w:rPr>
              <w:t>idle</w:t>
            </w:r>
          </w:p>
        </w:tc>
        <w:tc>
          <w:tcPr>
            <w:tcW w:type="dxa" w:w="1080"/>
          </w:tcPr>
          <w:p>
            <w:pPr>
              <w:jc w:val="right"/>
            </w:pPr>
            <w:r/>
            <w:r>
              <w:rPr>
                <w:rFonts w:ascii="Calibri" w:hAnsi="Calibri"/>
                <w:sz w:val="20"/>
              </w:rPr>
            </w:r>
          </w:p>
        </w:tc>
        <w:tc>
          <w:tcPr>
            <w:tcW w:type="dxa" w:w="1080"/>
          </w:tcPr>
          <w:p>
            <w:pPr>
              <w:jc w:val="right"/>
            </w:pPr>
            <w:r/>
            <w:r>
              <w:rPr>
                <w:rFonts w:ascii="Calibri" w:hAnsi="Calibri"/>
                <w:sz w:val="20"/>
              </w:rPr>
            </w:r>
          </w:p>
        </w:tc>
        <w:tc>
          <w:tcPr>
            <w:tcW w:type="dxa" w:w="1080"/>
          </w:tcPr>
          <w:p>
            <w:pPr>
              <w:jc w:val="right"/>
            </w:pPr>
            <w:r/>
            <w:r>
              <w:rPr>
                <w:rFonts w:ascii="Calibri" w:hAnsi="Calibri"/>
                <w:sz w:val="20"/>
              </w:rPr>
              <w:t>—</w:t>
            </w:r>
          </w:p>
        </w:tc>
        <w:tc>
          <w:tcPr>
            <w:tcW w:type="dxa" w:w="1080"/>
          </w:tcPr>
          <w:p>
            <w:pPr>
              <w:jc w:val="right"/>
            </w:pPr>
            <w:r/>
            <w:r>
              <w:rPr>
                <w:rFonts w:ascii="Calibri" w:hAnsi="Calibri"/>
                <w:sz w:val="20"/>
              </w:rPr>
              <w:t>3</w:t>
            </w:r>
          </w:p>
        </w:tc>
        <w:tc>
          <w:tcPr>
            <w:tcW w:type="dxa" w:w="1080"/>
          </w:tcPr>
          <w:p>
            <w:pPr>
              <w:jc w:val="right"/>
            </w:pPr>
            <w:r/>
            <w:r>
              <w:rPr>
                <w:rFonts w:ascii="Calibri" w:hAnsi="Calibri"/>
                <w:sz w:val="20"/>
              </w:rPr>
            </w:r>
          </w:p>
        </w:tc>
        <w:tc>
          <w:tcPr>
            <w:tcW w:type="dxa" w:w="1080"/>
          </w:tcPr>
          <w:p>
            <w:pPr>
              <w:jc w:val="right"/>
            </w:pPr>
            <w:r/>
            <w:r>
              <w:rPr>
                <w:rFonts w:ascii="Calibri" w:hAnsi="Calibri"/>
                <w:sz w:val="20"/>
              </w:rPr>
            </w:r>
          </w:p>
        </w:tc>
        <w:tc>
          <w:tcPr>
            <w:tcW w:type="dxa" w:w="1080"/>
          </w:tcPr>
          <w:p>
            <w:pPr>
              <w:jc w:val="right"/>
            </w:pPr>
            <w:r/>
            <w:r>
              <w:rPr>
                <w:rFonts w:ascii="Calibri" w:hAnsi="Calibri"/>
                <w:sz w:val="20"/>
              </w:rPr>
            </w:r>
          </w:p>
        </w:tc>
      </w:tr>
      <w:tr>
        <w:tc>
          <w:tcPr>
            <w:tcW w:type="dxa" w:w="1080"/>
          </w:tcPr>
          <w:p>
            <w:r/>
            <w:r>
              <w:rPr>
                <w:rFonts w:ascii="Calibri" w:hAnsi="Calibri"/>
                <w:b/>
                <w:sz w:val="20"/>
              </w:rPr>
              <w:t>mothballed</w:t>
            </w:r>
          </w:p>
        </w:tc>
        <w:tc>
          <w:tcPr>
            <w:tcW w:type="dxa" w:w="1080"/>
          </w:tcPr>
          <w:p>
            <w:pPr>
              <w:jc w:val="right"/>
            </w:pPr>
            <w:r/>
            <w:r>
              <w:rPr>
                <w:rFonts w:ascii="Calibri" w:hAnsi="Calibri"/>
                <w:sz w:val="20"/>
              </w:rPr>
            </w:r>
          </w:p>
        </w:tc>
        <w:tc>
          <w:tcPr>
            <w:tcW w:type="dxa" w:w="1080"/>
          </w:tcPr>
          <w:p>
            <w:pPr>
              <w:jc w:val="right"/>
            </w:pPr>
            <w:r/>
            <w:r>
              <w:rPr>
                <w:rFonts w:ascii="Calibri" w:hAnsi="Calibri"/>
                <w:sz w:val="20"/>
              </w:rPr>
            </w:r>
          </w:p>
        </w:tc>
        <w:tc>
          <w:tcPr>
            <w:tcW w:type="dxa" w:w="1080"/>
          </w:tcPr>
          <w:p>
            <w:pPr>
              <w:jc w:val="right"/>
            </w:pPr>
            <w:r/>
            <w:r>
              <w:rPr>
                <w:rFonts w:ascii="Calibri" w:hAnsi="Calibri"/>
                <w:sz w:val="20"/>
              </w:rPr>
            </w:r>
          </w:p>
        </w:tc>
        <w:tc>
          <w:tcPr>
            <w:tcW w:type="dxa" w:w="1080"/>
          </w:tcPr>
          <w:p>
            <w:pPr>
              <w:jc w:val="right"/>
            </w:pPr>
            <w:r/>
            <w:r>
              <w:rPr>
                <w:rFonts w:ascii="Calibri" w:hAnsi="Calibri"/>
                <w:sz w:val="20"/>
              </w:rPr>
              <w:t>—</w:t>
            </w:r>
          </w:p>
        </w:tc>
        <w:tc>
          <w:tcPr>
            <w:tcW w:type="dxa" w:w="1080"/>
          </w:tcPr>
          <w:p>
            <w:pPr>
              <w:jc w:val="right"/>
            </w:pPr>
            <w:r/>
            <w:r>
              <w:rPr>
                <w:rFonts w:ascii="Calibri" w:hAnsi="Calibri"/>
                <w:sz w:val="20"/>
              </w:rPr>
            </w:r>
          </w:p>
        </w:tc>
        <w:tc>
          <w:tcPr>
            <w:tcW w:type="dxa" w:w="1080"/>
          </w:tcPr>
          <w:p>
            <w:pPr>
              <w:jc w:val="right"/>
            </w:pPr>
            <w:r/>
            <w:r>
              <w:rPr>
                <w:rFonts w:ascii="Calibri" w:hAnsi="Calibri"/>
                <w:sz w:val="20"/>
              </w:rPr>
              <w:t>1</w:t>
            </w:r>
          </w:p>
        </w:tc>
        <w:tc>
          <w:tcPr>
            <w:tcW w:type="dxa" w:w="1080"/>
          </w:tcPr>
          <w:p>
            <w:pPr>
              <w:jc w:val="right"/>
            </w:pPr>
            <w:r/>
            <w:r>
              <w:rPr>
                <w:rFonts w:ascii="Calibri" w:hAnsi="Calibri"/>
                <w:sz w:val="20"/>
              </w:rPr>
            </w:r>
          </w:p>
        </w:tc>
      </w:tr>
      <w:tr>
        <w:tc>
          <w:tcPr>
            <w:tcW w:type="dxa" w:w="1080"/>
          </w:tcPr>
          <w:p>
            <w:r/>
            <w:r>
              <w:rPr>
                <w:rFonts w:ascii="Calibri" w:hAnsi="Calibri"/>
                <w:b/>
                <w:sz w:val="20"/>
              </w:rPr>
              <w:t>operating</w:t>
            </w:r>
          </w:p>
        </w:tc>
        <w:tc>
          <w:tcPr>
            <w:tcW w:type="dxa" w:w="1080"/>
          </w:tcPr>
          <w:p>
            <w:pPr>
              <w:jc w:val="right"/>
            </w:pPr>
            <w:r/>
            <w:r>
              <w:rPr>
                <w:rFonts w:ascii="Calibri" w:hAnsi="Calibri"/>
                <w:sz w:val="20"/>
              </w:rPr>
              <w:t>3</w:t>
            </w:r>
          </w:p>
        </w:tc>
        <w:tc>
          <w:tcPr>
            <w:tcW w:type="dxa" w:w="1080"/>
          </w:tcPr>
          <w:p>
            <w:pPr>
              <w:jc w:val="right"/>
            </w:pPr>
            <w:r/>
            <w:r>
              <w:rPr>
                <w:rFonts w:ascii="Calibri" w:hAnsi="Calibri"/>
                <w:sz w:val="20"/>
              </w:rPr>
              <w:t>1</w:t>
            </w:r>
          </w:p>
        </w:tc>
        <w:tc>
          <w:tcPr>
            <w:tcW w:type="dxa" w:w="1080"/>
          </w:tcPr>
          <w:p>
            <w:pPr>
              <w:jc w:val="right"/>
            </w:pPr>
            <w:r/>
            <w:r>
              <w:rPr>
                <w:rFonts w:ascii="Calibri" w:hAnsi="Calibri"/>
                <w:sz w:val="20"/>
              </w:rPr>
              <w:t>5</w:t>
            </w:r>
          </w:p>
        </w:tc>
        <w:tc>
          <w:tcPr>
            <w:tcW w:type="dxa" w:w="1080"/>
          </w:tcPr>
          <w:p>
            <w:pPr>
              <w:jc w:val="right"/>
            </w:pPr>
            <w:r/>
            <w:r>
              <w:rPr>
                <w:rFonts w:ascii="Calibri" w:hAnsi="Calibri"/>
                <w:sz w:val="20"/>
              </w:rPr>
              <w:t>—</w:t>
            </w:r>
          </w:p>
        </w:tc>
        <w:tc>
          <w:tcPr>
            <w:tcW w:type="dxa" w:w="1080"/>
          </w:tcPr>
          <w:p>
            <w:pPr>
              <w:jc w:val="right"/>
            </w:pPr>
            <w:r/>
            <w:r>
              <w:rPr>
                <w:rFonts w:ascii="Calibri" w:hAnsi="Calibri"/>
                <w:sz w:val="20"/>
              </w:rPr>
            </w:r>
          </w:p>
        </w:tc>
        <w:tc>
          <w:tcPr>
            <w:tcW w:type="dxa" w:w="1080"/>
          </w:tcPr>
          <w:p>
            <w:pPr>
              <w:jc w:val="right"/>
            </w:pPr>
            <w:r/>
            <w:r>
              <w:rPr>
                <w:rFonts w:ascii="Calibri" w:hAnsi="Calibri"/>
                <w:sz w:val="20"/>
              </w:rPr>
              <w:t>13</w:t>
            </w:r>
          </w:p>
        </w:tc>
        <w:tc>
          <w:tcPr>
            <w:tcW w:type="dxa" w:w="1080"/>
          </w:tcPr>
          <w:p>
            <w:pPr>
              <w:jc w:val="right"/>
            </w:pPr>
            <w:r/>
            <w:r>
              <w:rPr>
                <w:rFonts w:ascii="Calibri" w:hAnsi="Calibri"/>
                <w:sz w:val="20"/>
              </w:rPr>
            </w:r>
          </w:p>
        </w:tc>
      </w:tr>
      <w:tr>
        <w:tc>
          <w:tcPr>
            <w:tcW w:type="dxa" w:w="1080"/>
          </w:tcPr>
          <w:p>
            <w:r/>
            <w:r>
              <w:rPr>
                <w:rFonts w:ascii="Calibri" w:hAnsi="Calibri"/>
                <w:b/>
                <w:sz w:val="20"/>
              </w:rPr>
              <w:t>proposed</w:t>
            </w:r>
          </w:p>
        </w:tc>
        <w:tc>
          <w:tcPr>
            <w:tcW w:type="dxa" w:w="1080"/>
          </w:tcPr>
          <w:p>
            <w:pPr>
              <w:jc w:val="right"/>
            </w:pPr>
            <w:r/>
            <w:r>
              <w:rPr>
                <w:rFonts w:ascii="Calibri" w:hAnsi="Calibri"/>
                <w:sz w:val="20"/>
              </w:rPr>
              <w:t>5</w:t>
            </w:r>
          </w:p>
        </w:tc>
        <w:tc>
          <w:tcPr>
            <w:tcW w:type="dxa" w:w="1080"/>
          </w:tcPr>
          <w:p>
            <w:pPr>
              <w:jc w:val="right"/>
            </w:pPr>
            <w:r/>
            <w:r>
              <w:rPr>
                <w:rFonts w:ascii="Calibri" w:hAnsi="Calibri"/>
                <w:sz w:val="20"/>
              </w:rPr>
              <w:t>9</w:t>
            </w:r>
          </w:p>
        </w:tc>
        <w:tc>
          <w:tcPr>
            <w:tcW w:type="dxa" w:w="1080"/>
          </w:tcPr>
          <w:p>
            <w:pPr>
              <w:jc w:val="right"/>
            </w:pPr>
            <w:r/>
            <w:r>
              <w:rPr>
                <w:rFonts w:ascii="Calibri" w:hAnsi="Calibri"/>
                <w:sz w:val="20"/>
              </w:rPr>
            </w:r>
          </w:p>
        </w:tc>
        <w:tc>
          <w:tcPr>
            <w:tcW w:type="dxa" w:w="1080"/>
          </w:tcPr>
          <w:p>
            <w:pPr>
              <w:jc w:val="right"/>
            </w:pPr>
            <w:r/>
            <w:r>
              <w:rPr>
                <w:rFonts w:ascii="Calibri" w:hAnsi="Calibri"/>
                <w:sz w:val="20"/>
              </w:rPr>
              <w:t>8</w:t>
            </w:r>
          </w:p>
        </w:tc>
        <w:tc>
          <w:tcPr>
            <w:tcW w:type="dxa" w:w="1080"/>
          </w:tcPr>
          <w:p>
            <w:pPr>
              <w:jc w:val="right"/>
            </w:pPr>
            <w:r/>
            <w:r>
              <w:rPr>
                <w:rFonts w:ascii="Calibri" w:hAnsi="Calibri"/>
                <w:sz w:val="20"/>
              </w:rPr>
              <w:t>—</w:t>
            </w:r>
          </w:p>
        </w:tc>
        <w:tc>
          <w:tcPr>
            <w:tcW w:type="dxa" w:w="1080"/>
          </w:tcPr>
          <w:p>
            <w:pPr>
              <w:jc w:val="right"/>
            </w:pPr>
            <w:r/>
            <w:r>
              <w:rPr>
                <w:rFonts w:ascii="Calibri" w:hAnsi="Calibri"/>
                <w:sz w:val="20"/>
              </w:rPr>
            </w:r>
          </w:p>
        </w:tc>
        <w:tc>
          <w:tcPr>
            <w:tcW w:type="dxa" w:w="1080"/>
          </w:tcPr>
          <w:p>
            <w:pPr>
              <w:jc w:val="right"/>
            </w:pPr>
            <w:r/>
            <w:r>
              <w:rPr>
                <w:rFonts w:ascii="Calibri" w:hAnsi="Calibri"/>
                <w:sz w:val="20"/>
              </w:rPr>
              <w:t>7</w:t>
            </w:r>
          </w:p>
        </w:tc>
      </w:tr>
      <w:tr>
        <w:tc>
          <w:tcPr>
            <w:tcW w:type="dxa" w:w="1080"/>
          </w:tcPr>
          <w:p>
            <w:r/>
            <w:r>
              <w:rPr>
                <w:rFonts w:ascii="Calibri" w:hAnsi="Calibri"/>
                <w:b/>
                <w:sz w:val="20"/>
              </w:rPr>
              <w:t>shelved</w:t>
            </w:r>
          </w:p>
        </w:tc>
        <w:tc>
          <w:tcPr>
            <w:tcW w:type="dxa" w:w="1080"/>
          </w:tcPr>
          <w:p>
            <w:pPr>
              <w:jc w:val="right"/>
            </w:pPr>
            <w:r/>
            <w:r>
              <w:rPr>
                <w:rFonts w:ascii="Calibri" w:hAnsi="Calibri"/>
                <w:sz w:val="20"/>
              </w:rPr>
              <w:t>5</w:t>
            </w:r>
          </w:p>
        </w:tc>
        <w:tc>
          <w:tcPr>
            <w:tcW w:type="dxa" w:w="1080"/>
          </w:tcPr>
          <w:p>
            <w:pPr>
              <w:jc w:val="right"/>
            </w:pPr>
            <w:r/>
            <w:r>
              <w:rPr>
                <w:rFonts w:ascii="Calibri" w:hAnsi="Calibri"/>
                <w:sz w:val="20"/>
              </w:rPr>
            </w:r>
          </w:p>
        </w:tc>
        <w:tc>
          <w:tcPr>
            <w:tcW w:type="dxa" w:w="1080"/>
          </w:tcPr>
          <w:p>
            <w:pPr>
              <w:jc w:val="right"/>
            </w:pPr>
            <w:r/>
            <w:r>
              <w:rPr>
                <w:rFonts w:ascii="Calibri" w:hAnsi="Calibri"/>
                <w:sz w:val="20"/>
              </w:rPr>
            </w:r>
          </w:p>
        </w:tc>
        <w:tc>
          <w:tcPr>
            <w:tcW w:type="dxa" w:w="1080"/>
          </w:tcPr>
          <w:p>
            <w:pPr>
              <w:jc w:val="right"/>
            </w:pPr>
            <w:r/>
            <w:r>
              <w:rPr>
                <w:rFonts w:ascii="Calibri" w:hAnsi="Calibri"/>
                <w:sz w:val="20"/>
              </w:rPr>
              <w:t>1</w:t>
            </w:r>
          </w:p>
        </w:tc>
        <w:tc>
          <w:tcPr>
            <w:tcW w:type="dxa" w:w="1080"/>
          </w:tcPr>
          <w:p>
            <w:pPr>
              <w:jc w:val="right"/>
            </w:pPr>
            <w:r/>
            <w:r>
              <w:rPr>
                <w:rFonts w:ascii="Calibri" w:hAnsi="Calibri"/>
                <w:sz w:val="20"/>
              </w:rPr>
              <w:t>1</w:t>
            </w:r>
          </w:p>
        </w:tc>
        <w:tc>
          <w:tcPr>
            <w:tcW w:type="dxa" w:w="1080"/>
          </w:tcPr>
          <w:p>
            <w:pPr>
              <w:jc w:val="right"/>
            </w:pPr>
            <w:r/>
            <w:r>
              <w:rPr>
                <w:rFonts w:ascii="Calibri" w:hAnsi="Calibri"/>
                <w:sz w:val="20"/>
              </w:rPr>
            </w:r>
          </w:p>
        </w:tc>
        <w:tc>
          <w:tcPr>
            <w:tcW w:type="dxa" w:w="1080"/>
          </w:tcPr>
          <w:p>
            <w:pPr>
              <w:jc w:val="right"/>
            </w:pPr>
            <w:r/>
            <w:r>
              <w:rPr>
                <w:rFonts w:ascii="Calibri" w:hAnsi="Calibri"/>
                <w:sz w:val="20"/>
              </w:rPr>
              <w:t>—</w:t>
            </w:r>
          </w:p>
        </w:tc>
      </w:tr>
    </w:tbl>
    <w:p/>
    <w:p>
      <w:pPr>
        <w:pStyle w:val="ListBullet"/>
      </w:pPr>
      <w:r>
        <w:rPr>
          <w:b/>
        </w:rPr>
        <w:t xml:space="preserve">Came online (~3,300 km, construction → operating, 24 rows): </w:t>
      </w:r>
      <w:r>
        <w:rPr>
          <w:b w:val="0"/>
        </w:rPr>
        <w:t>led by US NGL — Bahia (885 km) and Daytona (644 km) — plus Argentina’s Oldelval expansion (525 km) and first Vaca Muerta Sur segment (128 km), Saudi Arabia’s Jafurah NGL (349 km), Pacific Pipeline (200 km), Peace (150 km), and Dongying–Guangrao (103 km).</w:t>
      </w:r>
    </w:p>
    <w:p>
      <w:pPr>
        <w:pStyle w:val="ListBullet"/>
      </w:pPr>
      <w:r>
        <w:rPr>
          <w:b/>
        </w:rPr>
        <w:t xml:space="preserve">Broke ground (~950 km, proposed → construction, 9 rows): </w:t>
      </w:r>
      <w:r>
        <w:rPr>
          <w:b w:val="0"/>
        </w:rPr>
        <w:t>dominated by Libya’s Sirte–Ras Lanuf–Sidra rebuild (700 km); the rest small — Lysychansk–Tikhoretsk (112 km), Enbridge Line 5 relay (66 km), Willow (52 km), minor Shandong lines. A thin year for groundbreaking among carried-over entries.</w:t>
      </w:r>
    </w:p>
    <w:p>
      <w:pPr>
        <w:pStyle w:val="ListBullet"/>
      </w:pPr>
      <w:r>
        <w:rPr>
          <w:b/>
        </w:rPr>
        <w:t xml:space="preserve">Restarts (idle → operating, ~1,253 km): </w:t>
      </w:r>
      <w:r>
        <w:rPr>
          <w:b w:val="0"/>
        </w:rPr>
        <w:t>Baku–Supsa (837 km, Azerbaijan–Georgia) and the Polish Druzhba section (416 km). Also Saudi Arabia’s East–West Crude extension recoded shelved → operating (536 km), and Zhuangxi Expansion cancelled → operating (38 km).</w:t>
      </w:r>
    </w:p>
    <w:p>
      <w:pPr>
        <w:pStyle w:val="ListBullet"/>
      </w:pPr>
      <w:r>
        <w:rPr>
          <w:b/>
        </w:rPr>
        <w:t xml:space="preserve">Revivals: </w:t>
      </w:r>
      <w:r>
        <w:rPr>
          <w:b w:val="0"/>
        </w:rPr>
        <w:t>Western Crude Oil Parallel mainline cancelled → proposed (2,041 km) — the single largest status-driven addition to the in-development stock this release; evidence does not support it (see the companion status-review memo). Trans-Panama Gateway NGL shelved → proposed (80 km).</w:t>
      </w:r>
    </w:p>
    <w:p>
      <w:pPr>
        <w:pStyle w:val="ListBullet"/>
      </w:pPr>
      <w:r>
        <w:rPr>
          <w:b/>
        </w:rPr>
        <w:t xml:space="preserve">Reversions (construction → proposed, ~1,018 km): </w:t>
      </w:r>
      <w:r>
        <w:rPr>
          <w:b w:val="0"/>
        </w:rPr>
        <w:t>the Basra–Aqaba Iraq–Jordan section (972 km) stepped back to proposed — while the Iraqi Basra–Haditha section remains under construction — plus Genaveh–Kharg (46 km, Iran).</w:t>
      </w:r>
    </w:p>
    <w:p>
      <w:pPr>
        <w:pStyle w:val="ListBullet"/>
      </w:pPr>
      <w:r>
        <w:rPr>
          <w:b/>
        </w:rPr>
        <w:t xml:space="preserve">Shelved (proposed/construction → shelved, ~2,988 km): </w:t>
      </w:r>
      <w:r>
        <w:rPr>
          <w:b w:val="0"/>
        </w:rPr>
        <w:t>mostly Kirkuk–Baniyas (3 × 800 km), plus Frontier NGL (170 km, Canada), Oldelval segments, Nafoora–Zueitina (69 km, Libya), and both Bay of Bengal–Chittagong lines (2 × 110 km, Bangladesh, from construction).</w:t>
      </w:r>
    </w:p>
    <w:p>
      <w:pPr>
        <w:pStyle w:val="ListBullet"/>
      </w:pPr>
      <w:r>
        <w:rPr>
          <w:b/>
        </w:rPr>
        <w:t xml:space="preserve">Cancelled (~7,566 km total): </w:t>
      </w:r>
      <w:r>
        <w:rPr>
          <w:b w:val="0"/>
        </w:rPr>
        <w:t>a shelved → cancelled purge of zombie entries (5,766 km: Canadian Prosperity Project 4,800 km, Voyager 805 km, Zydeco, Tverdilovo–Pokhvistnevo, Kurdistan Oil Pipeline); proposed → cancelled 1,315 km (Golmud–Xining–Lanzhou 790 km, Yakutsky LNG Condensate 500 km); Rizhao–Zhanhua from construction (485 km); and three Iranian Cheshme Shour lines from operating (324 km).</w:t>
      </w:r>
    </w:p>
    <w:p>
      <w:pPr>
        <w:pStyle w:val="ListBullet"/>
      </w:pPr>
      <w:r>
        <w:rPr>
          <w:b/>
        </w:rPr>
        <w:t xml:space="preserve">Retired (operating → retired, ~3,060 km): </w:t>
      </w:r>
      <w:r>
        <w:rPr>
          <w:b w:val="0"/>
        </w:rPr>
        <w:t>Moomba–Sydney Ethane (1,375 km, Australia), Iraq Strategic Pipeline (669 km), Mereenie–Alice Springs (268 km), Bombay–Uran (203 km), Strategic–Daura Refinery lines (350 km).</w:t>
      </w:r>
    </w:p>
    <w:p>
      <w:pPr>
        <w:pStyle w:val="ListBullet"/>
      </w:pPr>
      <w:r>
        <w:rPr>
          <w:b/>
        </w:rPr>
        <w:t xml:space="preserve">Went idle (operating → idle, ~1,438 km): </w:t>
      </w:r>
      <w:r>
        <w:rPr>
          <w:b w:val="0"/>
        </w:rPr>
        <w:t>three Yemen export lines (Marib–Ras Isa 438 km, Shabwah–Bir Ali 207, Masila–Ash Shihr 138), Guatemala’s Hydrocarbons Stationary Transport System (475 km), Kenkiyak–Orsk (180 km).</w:t>
      </w:r>
    </w:p>
    <w:p/>
    <w:p>
      <w:r>
        <w:rPr>
          <w:b/>
        </w:rPr>
        <w:t>Net regional effect (in-development km, identical raw-sum method on both files)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Subregion</w:t>
            </w:r>
          </w:p>
        </w:tc>
        <w:tc>
          <w:tcPr>
            <w:tcW w:type="dxa" w:w="2160"/>
          </w:tcPr>
          <w:p>
            <w:r/>
            <w:r>
              <w:rPr>
                <w:rFonts w:ascii="Calibri" w:hAnsi="Calibri"/>
                <w:b/>
                <w:sz w:val="20"/>
              </w:rPr>
              <w:t>2025-06</w:t>
            </w:r>
          </w:p>
        </w:tc>
        <w:tc>
          <w:tcPr>
            <w:tcW w:type="dxa" w:w="2160"/>
          </w:tcPr>
          <w:p>
            <w:r/>
            <w:r>
              <w:rPr>
                <w:rFonts w:ascii="Calibri" w:hAnsi="Calibri"/>
                <w:b/>
                <w:sz w:val="20"/>
              </w:rPr>
              <w:t>2026-06</w:t>
            </w:r>
          </w:p>
        </w:tc>
        <w:tc>
          <w:tcPr>
            <w:tcW w:type="dxa" w:w="2160"/>
          </w:tcPr>
          <w:p>
            <w:r/>
            <w:r>
              <w:rPr>
                <w:rFonts w:ascii="Calibri" w:hAnsi="Calibri"/>
                <w:b/>
                <w:sz w:val="20"/>
              </w:rPr>
              <w:t>Δ</w:t>
            </w:r>
          </w:p>
        </w:tc>
      </w:tr>
      <w:tr>
        <w:tc>
          <w:tcPr>
            <w:tcW w:type="dxa" w:w="2160"/>
          </w:tcPr>
          <w:p>
            <w:r/>
            <w:r>
              <w:rPr>
                <w:rFonts w:ascii="Calibri" w:hAnsi="Calibri"/>
                <w:b/>
                <w:sz w:val="20"/>
              </w:rPr>
              <w:t>Southern Asia</w:t>
            </w:r>
          </w:p>
        </w:tc>
        <w:tc>
          <w:tcPr>
            <w:tcW w:type="dxa" w:w="2160"/>
          </w:tcPr>
          <w:p>
            <w:pPr>
              <w:jc w:val="right"/>
            </w:pPr>
            <w:r/>
            <w:r>
              <w:rPr>
                <w:rFonts w:ascii="Calibri" w:hAnsi="Calibri"/>
                <w:sz w:val="20"/>
              </w:rPr>
              <w:t>5,361</w:t>
            </w:r>
          </w:p>
        </w:tc>
        <w:tc>
          <w:tcPr>
            <w:tcW w:type="dxa" w:w="2160"/>
          </w:tcPr>
          <w:p>
            <w:pPr>
              <w:jc w:val="right"/>
            </w:pPr>
            <w:r/>
            <w:r>
              <w:rPr>
                <w:rFonts w:ascii="Calibri" w:hAnsi="Calibri"/>
                <w:sz w:val="20"/>
              </w:rPr>
              <w:t>7,015</w:t>
            </w:r>
          </w:p>
        </w:tc>
        <w:tc>
          <w:tcPr>
            <w:tcW w:type="dxa" w:w="2160"/>
          </w:tcPr>
          <w:p>
            <w:pPr>
              <w:jc w:val="right"/>
            </w:pPr>
            <w:r/>
            <w:r>
              <w:rPr>
                <w:rFonts w:ascii="Calibri" w:hAnsi="Calibri"/>
                <w:sz w:val="20"/>
              </w:rPr>
              <w:t>+1,654</w:t>
            </w:r>
          </w:p>
        </w:tc>
      </w:tr>
      <w:tr>
        <w:tc>
          <w:tcPr>
            <w:tcW w:type="dxa" w:w="2160"/>
          </w:tcPr>
          <w:p>
            <w:r/>
            <w:r>
              <w:rPr>
                <w:rFonts w:ascii="Calibri" w:hAnsi="Calibri"/>
                <w:b/>
                <w:sz w:val="20"/>
              </w:rPr>
              <w:t>Latin America &amp; Caribbean</w:t>
            </w:r>
          </w:p>
        </w:tc>
        <w:tc>
          <w:tcPr>
            <w:tcW w:type="dxa" w:w="2160"/>
          </w:tcPr>
          <w:p>
            <w:pPr>
              <w:jc w:val="right"/>
            </w:pPr>
            <w:r/>
            <w:r>
              <w:rPr>
                <w:rFonts w:ascii="Calibri" w:hAnsi="Calibri"/>
                <w:sz w:val="20"/>
              </w:rPr>
              <w:t>4,645</w:t>
            </w:r>
          </w:p>
        </w:tc>
        <w:tc>
          <w:tcPr>
            <w:tcW w:type="dxa" w:w="2160"/>
          </w:tcPr>
          <w:p>
            <w:pPr>
              <w:jc w:val="right"/>
            </w:pPr>
            <w:r/>
            <w:r>
              <w:rPr>
                <w:rFonts w:ascii="Calibri" w:hAnsi="Calibri"/>
                <w:sz w:val="20"/>
              </w:rPr>
              <w:t>5,693</w:t>
            </w:r>
          </w:p>
        </w:tc>
        <w:tc>
          <w:tcPr>
            <w:tcW w:type="dxa" w:w="2160"/>
          </w:tcPr>
          <w:p>
            <w:pPr>
              <w:jc w:val="right"/>
            </w:pPr>
            <w:r/>
            <w:r>
              <w:rPr>
                <w:rFonts w:ascii="Calibri" w:hAnsi="Calibri"/>
                <w:sz w:val="20"/>
              </w:rPr>
              <w:t>+1,048</w:t>
            </w:r>
          </w:p>
        </w:tc>
      </w:tr>
      <w:tr>
        <w:tc>
          <w:tcPr>
            <w:tcW w:type="dxa" w:w="2160"/>
          </w:tcPr>
          <w:p>
            <w:r/>
            <w:r>
              <w:rPr>
                <w:rFonts w:ascii="Calibri" w:hAnsi="Calibri"/>
                <w:b/>
                <w:sz w:val="20"/>
              </w:rPr>
              <w:t>Northern America</w:t>
            </w:r>
          </w:p>
        </w:tc>
        <w:tc>
          <w:tcPr>
            <w:tcW w:type="dxa" w:w="2160"/>
          </w:tcPr>
          <w:p>
            <w:pPr>
              <w:jc w:val="right"/>
            </w:pPr>
            <w:r/>
            <w:r>
              <w:rPr>
                <w:rFonts w:ascii="Calibri" w:hAnsi="Calibri"/>
                <w:sz w:val="20"/>
              </w:rPr>
              <w:t>3,799</w:t>
            </w:r>
          </w:p>
        </w:tc>
        <w:tc>
          <w:tcPr>
            <w:tcW w:type="dxa" w:w="2160"/>
          </w:tcPr>
          <w:p>
            <w:pPr>
              <w:jc w:val="right"/>
            </w:pPr>
            <w:r/>
            <w:r>
              <w:rPr>
                <w:rFonts w:ascii="Calibri" w:hAnsi="Calibri"/>
                <w:sz w:val="20"/>
              </w:rPr>
              <w:t>4,399</w:t>
            </w:r>
          </w:p>
        </w:tc>
        <w:tc>
          <w:tcPr>
            <w:tcW w:type="dxa" w:w="2160"/>
          </w:tcPr>
          <w:p>
            <w:pPr>
              <w:jc w:val="right"/>
            </w:pPr>
            <w:r/>
            <w:r>
              <w:rPr>
                <w:rFonts w:ascii="Calibri" w:hAnsi="Calibri"/>
                <w:sz w:val="20"/>
              </w:rPr>
              <w:t>+600</w:t>
            </w:r>
          </w:p>
        </w:tc>
      </w:tr>
      <w:tr>
        <w:tc>
          <w:tcPr>
            <w:tcW w:type="dxa" w:w="2160"/>
          </w:tcPr>
          <w:p>
            <w:r/>
            <w:r>
              <w:rPr>
                <w:rFonts w:ascii="Calibri" w:hAnsi="Calibri"/>
                <w:b/>
                <w:sz w:val="20"/>
              </w:rPr>
              <w:t>Central Asia</w:t>
            </w:r>
          </w:p>
        </w:tc>
        <w:tc>
          <w:tcPr>
            <w:tcW w:type="dxa" w:w="2160"/>
          </w:tcPr>
          <w:p>
            <w:pPr>
              <w:jc w:val="right"/>
            </w:pPr>
            <w:r/>
            <w:r>
              <w:rPr>
                <w:rFonts w:ascii="Calibri" w:hAnsi="Calibri"/>
                <w:sz w:val="20"/>
              </w:rPr>
              <w:t>2,749</w:t>
            </w:r>
          </w:p>
        </w:tc>
        <w:tc>
          <w:tcPr>
            <w:tcW w:type="dxa" w:w="2160"/>
          </w:tcPr>
          <w:p>
            <w:pPr>
              <w:jc w:val="right"/>
            </w:pPr>
            <w:r/>
            <w:r>
              <w:rPr>
                <w:rFonts w:ascii="Calibri" w:hAnsi="Calibri"/>
                <w:sz w:val="20"/>
              </w:rPr>
              <w:t>2,738</w:t>
            </w:r>
          </w:p>
        </w:tc>
        <w:tc>
          <w:tcPr>
            <w:tcW w:type="dxa" w:w="2160"/>
          </w:tcPr>
          <w:p>
            <w:pPr>
              <w:jc w:val="right"/>
            </w:pPr>
            <w:r/>
            <w:r>
              <w:rPr>
                <w:rFonts w:ascii="Calibri" w:hAnsi="Calibri"/>
                <w:sz w:val="20"/>
              </w:rPr>
              <w:t>−11</w:t>
            </w:r>
          </w:p>
        </w:tc>
      </w:tr>
      <w:tr>
        <w:tc>
          <w:tcPr>
            <w:tcW w:type="dxa" w:w="2160"/>
          </w:tcPr>
          <w:p>
            <w:r/>
            <w:r>
              <w:rPr>
                <w:rFonts w:ascii="Calibri" w:hAnsi="Calibri"/>
                <w:b/>
                <w:sz w:val="20"/>
              </w:rPr>
              <w:t>Northern Africa</w:t>
            </w:r>
          </w:p>
        </w:tc>
        <w:tc>
          <w:tcPr>
            <w:tcW w:type="dxa" w:w="2160"/>
          </w:tcPr>
          <w:p>
            <w:pPr>
              <w:jc w:val="right"/>
            </w:pPr>
            <w:r/>
            <w:r>
              <w:rPr>
                <w:rFonts w:ascii="Calibri" w:hAnsi="Calibri"/>
                <w:sz w:val="20"/>
              </w:rPr>
              <w:t>2,244</w:t>
            </w:r>
          </w:p>
        </w:tc>
        <w:tc>
          <w:tcPr>
            <w:tcW w:type="dxa" w:w="2160"/>
          </w:tcPr>
          <w:p>
            <w:pPr>
              <w:jc w:val="right"/>
            </w:pPr>
            <w:r/>
            <w:r>
              <w:rPr>
                <w:rFonts w:ascii="Calibri" w:hAnsi="Calibri"/>
                <w:sz w:val="20"/>
              </w:rPr>
              <w:t>2,203</w:t>
            </w:r>
          </w:p>
        </w:tc>
        <w:tc>
          <w:tcPr>
            <w:tcW w:type="dxa" w:w="2160"/>
          </w:tcPr>
          <w:p>
            <w:pPr>
              <w:jc w:val="right"/>
            </w:pPr>
            <w:r/>
            <w:r>
              <w:rPr>
                <w:rFonts w:ascii="Calibri" w:hAnsi="Calibri"/>
                <w:sz w:val="20"/>
              </w:rPr>
              <w:t>−41</w:t>
            </w:r>
          </w:p>
        </w:tc>
      </w:tr>
      <w:tr>
        <w:tc>
          <w:tcPr>
            <w:tcW w:type="dxa" w:w="2160"/>
          </w:tcPr>
          <w:p>
            <w:r/>
            <w:r>
              <w:rPr>
                <w:rFonts w:ascii="Calibri" w:hAnsi="Calibri"/>
                <w:b/>
                <w:sz w:val="20"/>
              </w:rPr>
              <w:t>Southern Europe</w:t>
            </w:r>
          </w:p>
        </w:tc>
        <w:tc>
          <w:tcPr>
            <w:tcW w:type="dxa" w:w="2160"/>
          </w:tcPr>
          <w:p>
            <w:pPr>
              <w:jc w:val="right"/>
            </w:pPr>
            <w:r/>
            <w:r>
              <w:rPr>
                <w:rFonts w:ascii="Calibri" w:hAnsi="Calibri"/>
                <w:sz w:val="20"/>
              </w:rPr>
              <w:t>128</w:t>
            </w:r>
          </w:p>
        </w:tc>
        <w:tc>
          <w:tcPr>
            <w:tcW w:type="dxa" w:w="2160"/>
          </w:tcPr>
          <w:p>
            <w:pPr>
              <w:jc w:val="right"/>
            </w:pPr>
            <w:r/>
            <w:r>
              <w:rPr>
                <w:rFonts w:ascii="Calibri" w:hAnsi="Calibri"/>
                <w:sz w:val="20"/>
              </w:rPr>
              <w:t>0</w:t>
            </w:r>
          </w:p>
        </w:tc>
        <w:tc>
          <w:tcPr>
            <w:tcW w:type="dxa" w:w="2160"/>
          </w:tcPr>
          <w:p>
            <w:pPr>
              <w:jc w:val="right"/>
            </w:pPr>
            <w:r/>
            <w:r>
              <w:rPr>
                <w:rFonts w:ascii="Calibri" w:hAnsi="Calibri"/>
                <w:sz w:val="20"/>
              </w:rPr>
              <w:t>−128</w:t>
            </w:r>
          </w:p>
        </w:tc>
      </w:tr>
      <w:tr>
        <w:tc>
          <w:tcPr>
            <w:tcW w:type="dxa" w:w="2160"/>
          </w:tcPr>
          <w:p>
            <w:r/>
            <w:r>
              <w:rPr>
                <w:rFonts w:ascii="Calibri" w:hAnsi="Calibri"/>
                <w:b/>
                <w:sz w:val="20"/>
              </w:rPr>
              <w:t>South-eastern Asia</w:t>
            </w:r>
          </w:p>
        </w:tc>
        <w:tc>
          <w:tcPr>
            <w:tcW w:type="dxa" w:w="2160"/>
          </w:tcPr>
          <w:p>
            <w:pPr>
              <w:jc w:val="right"/>
            </w:pPr>
            <w:r/>
            <w:r>
              <w:rPr>
                <w:rFonts w:ascii="Calibri" w:hAnsi="Calibri"/>
                <w:sz w:val="20"/>
              </w:rPr>
              <w:t>228</w:t>
            </w:r>
          </w:p>
        </w:tc>
        <w:tc>
          <w:tcPr>
            <w:tcW w:type="dxa" w:w="2160"/>
          </w:tcPr>
          <w:p>
            <w:pPr>
              <w:jc w:val="right"/>
            </w:pPr>
            <w:r/>
            <w:r>
              <w:rPr>
                <w:rFonts w:ascii="Calibri" w:hAnsi="Calibri"/>
                <w:sz w:val="20"/>
              </w:rPr>
              <w:t>0</w:t>
            </w:r>
          </w:p>
        </w:tc>
        <w:tc>
          <w:tcPr>
            <w:tcW w:type="dxa" w:w="2160"/>
          </w:tcPr>
          <w:p>
            <w:pPr>
              <w:jc w:val="right"/>
            </w:pPr>
            <w:r/>
            <w:r>
              <w:rPr>
                <w:rFonts w:ascii="Calibri" w:hAnsi="Calibri"/>
                <w:sz w:val="20"/>
              </w:rPr>
              <w:t>−228</w:t>
            </w:r>
          </w:p>
        </w:tc>
      </w:tr>
      <w:tr>
        <w:tc>
          <w:tcPr>
            <w:tcW w:type="dxa" w:w="2160"/>
          </w:tcPr>
          <w:p>
            <w:r/>
            <w:r>
              <w:rPr>
                <w:rFonts w:ascii="Calibri" w:hAnsi="Calibri"/>
                <w:b/>
                <w:sz w:val="20"/>
              </w:rPr>
              <w:t>Eastern Asia</w:t>
            </w:r>
          </w:p>
        </w:tc>
        <w:tc>
          <w:tcPr>
            <w:tcW w:type="dxa" w:w="2160"/>
          </w:tcPr>
          <w:p>
            <w:pPr>
              <w:jc w:val="right"/>
            </w:pPr>
            <w:r/>
            <w:r>
              <w:rPr>
                <w:rFonts w:ascii="Calibri" w:hAnsi="Calibri"/>
                <w:sz w:val="20"/>
              </w:rPr>
              <w:t>10,405</w:t>
            </w:r>
          </w:p>
        </w:tc>
        <w:tc>
          <w:tcPr>
            <w:tcW w:type="dxa" w:w="2160"/>
          </w:tcPr>
          <w:p>
            <w:pPr>
              <w:jc w:val="right"/>
            </w:pPr>
            <w:r/>
            <w:r>
              <w:rPr>
                <w:rFonts w:ascii="Calibri" w:hAnsi="Calibri"/>
                <w:sz w:val="20"/>
              </w:rPr>
              <w:t>10,139</w:t>
            </w:r>
          </w:p>
        </w:tc>
        <w:tc>
          <w:tcPr>
            <w:tcW w:type="dxa" w:w="2160"/>
          </w:tcPr>
          <w:p>
            <w:pPr>
              <w:jc w:val="right"/>
            </w:pPr>
            <w:r/>
            <w:r>
              <w:rPr>
                <w:rFonts w:ascii="Calibri" w:hAnsi="Calibri"/>
                <w:sz w:val="20"/>
              </w:rPr>
              <w:t>−266</w:t>
            </w:r>
          </w:p>
        </w:tc>
      </w:tr>
      <w:tr>
        <w:tc>
          <w:tcPr>
            <w:tcW w:type="dxa" w:w="2160"/>
          </w:tcPr>
          <w:p>
            <w:r/>
            <w:r>
              <w:rPr>
                <w:rFonts w:ascii="Calibri" w:hAnsi="Calibri"/>
                <w:b/>
                <w:sz w:val="20"/>
              </w:rPr>
              <w:t>Eastern Europe</w:t>
            </w:r>
          </w:p>
        </w:tc>
        <w:tc>
          <w:tcPr>
            <w:tcW w:type="dxa" w:w="2160"/>
          </w:tcPr>
          <w:p>
            <w:pPr>
              <w:jc w:val="right"/>
            </w:pPr>
            <w:r/>
            <w:r>
              <w:rPr>
                <w:rFonts w:ascii="Calibri" w:hAnsi="Calibri"/>
                <w:sz w:val="20"/>
              </w:rPr>
              <w:t>4,106</w:t>
            </w:r>
          </w:p>
        </w:tc>
        <w:tc>
          <w:tcPr>
            <w:tcW w:type="dxa" w:w="2160"/>
          </w:tcPr>
          <w:p>
            <w:pPr>
              <w:jc w:val="right"/>
            </w:pPr>
            <w:r/>
            <w:r>
              <w:rPr>
                <w:rFonts w:ascii="Calibri" w:hAnsi="Calibri"/>
                <w:sz w:val="20"/>
              </w:rPr>
              <w:t>3,665</w:t>
            </w:r>
          </w:p>
        </w:tc>
        <w:tc>
          <w:tcPr>
            <w:tcW w:type="dxa" w:w="2160"/>
          </w:tcPr>
          <w:p>
            <w:pPr>
              <w:jc w:val="right"/>
            </w:pPr>
            <w:r/>
            <w:r>
              <w:rPr>
                <w:rFonts w:ascii="Calibri" w:hAnsi="Calibri"/>
                <w:sz w:val="20"/>
              </w:rPr>
              <w:t>−441</w:t>
            </w:r>
          </w:p>
        </w:tc>
      </w:tr>
      <w:tr>
        <w:tc>
          <w:tcPr>
            <w:tcW w:type="dxa" w:w="2160"/>
          </w:tcPr>
          <w:p>
            <w:r/>
            <w:r>
              <w:rPr>
                <w:rFonts w:ascii="Calibri" w:hAnsi="Calibri"/>
                <w:b/>
                <w:sz w:val="20"/>
              </w:rPr>
              <w:t>Sub-Saharan Africa</w:t>
            </w:r>
          </w:p>
        </w:tc>
        <w:tc>
          <w:tcPr>
            <w:tcW w:type="dxa" w:w="2160"/>
          </w:tcPr>
          <w:p>
            <w:pPr>
              <w:jc w:val="right"/>
            </w:pPr>
            <w:r/>
            <w:r>
              <w:rPr>
                <w:rFonts w:ascii="Calibri" w:hAnsi="Calibri"/>
                <w:sz w:val="20"/>
              </w:rPr>
              <w:t>7,431</w:t>
            </w:r>
          </w:p>
        </w:tc>
        <w:tc>
          <w:tcPr>
            <w:tcW w:type="dxa" w:w="2160"/>
          </w:tcPr>
          <w:p>
            <w:pPr>
              <w:jc w:val="right"/>
            </w:pPr>
            <w:r/>
            <w:r>
              <w:rPr>
                <w:rFonts w:ascii="Calibri" w:hAnsi="Calibri"/>
                <w:sz w:val="20"/>
              </w:rPr>
              <w:t>6,031</w:t>
            </w:r>
          </w:p>
        </w:tc>
        <w:tc>
          <w:tcPr>
            <w:tcW w:type="dxa" w:w="2160"/>
          </w:tcPr>
          <w:p>
            <w:pPr>
              <w:jc w:val="right"/>
            </w:pPr>
            <w:r/>
            <w:r>
              <w:rPr>
                <w:rFonts w:ascii="Calibri" w:hAnsi="Calibri"/>
                <w:sz w:val="20"/>
              </w:rPr>
              <w:t>−1,400</w:t>
            </w:r>
          </w:p>
        </w:tc>
      </w:tr>
      <w:tr>
        <w:tc>
          <w:tcPr>
            <w:tcW w:type="dxa" w:w="2160"/>
          </w:tcPr>
          <w:p>
            <w:r/>
            <w:r>
              <w:rPr>
                <w:rFonts w:ascii="Calibri" w:hAnsi="Calibri"/>
                <w:b/>
                <w:sz w:val="20"/>
              </w:rPr>
              <w:t>Western Asia</w:t>
            </w:r>
          </w:p>
        </w:tc>
        <w:tc>
          <w:tcPr>
            <w:tcW w:type="dxa" w:w="2160"/>
          </w:tcPr>
          <w:p>
            <w:pPr>
              <w:jc w:val="right"/>
            </w:pPr>
            <w:r/>
            <w:r>
              <w:rPr>
                <w:rFonts w:ascii="Calibri" w:hAnsi="Calibri"/>
                <w:sz w:val="20"/>
              </w:rPr>
              <w:t>7,351</w:t>
            </w:r>
          </w:p>
        </w:tc>
        <w:tc>
          <w:tcPr>
            <w:tcW w:type="dxa" w:w="2160"/>
          </w:tcPr>
          <w:p>
            <w:pPr>
              <w:jc w:val="right"/>
            </w:pPr>
            <w:r/>
            <w:r>
              <w:rPr>
                <w:rFonts w:ascii="Calibri" w:hAnsi="Calibri"/>
                <w:sz w:val="20"/>
              </w:rPr>
              <w:t>5,254</w:t>
            </w:r>
          </w:p>
        </w:tc>
        <w:tc>
          <w:tcPr>
            <w:tcW w:type="dxa" w:w="2160"/>
          </w:tcPr>
          <w:p>
            <w:pPr>
              <w:jc w:val="right"/>
            </w:pPr>
            <w:r/>
            <w:r>
              <w:rPr>
                <w:rFonts w:ascii="Calibri" w:hAnsi="Calibri"/>
                <w:sz w:val="20"/>
              </w:rPr>
              <w:t>−2,097</w:t>
            </w:r>
          </w:p>
        </w:tc>
      </w:tr>
    </w:tbl>
    <w:p/>
    <w:p>
      <w:r>
        <w:rPr>
          <w:b w:val="0"/>
        </w:rPr>
        <w:t>Gains are driven by the Kandla–Gorakhpur addition (Southern Asia), the Brazil NGL corridor entries (Latin America), and Bridger/Speedway/Hiland (Northern America). Declines reflect resolution rather than abandonment of the regions: Western Asia’s fall is the Basra–North Baghdad–Syria deletion, the Basra–Aqaba reversion, and Kirkuk–Baniyas shelving; Sub-Saharan Africa’s is the Angola–Zambia deletion.</w:t>
      </w:r>
    </w:p>
    <w:p/>
    <w:p>
      <w:r>
        <w:rPr>
          <w:b/>
        </w:rPr>
        <w:t>Takeaway</w:t>
      </w:r>
    </w:p>
    <w:p>
      <w:r>
        <w:rPr>
          <w:b w:val="0"/>
        </w:rPr>
        <w:t>This release is best read as a cleanup-and-resolution cycle: substantial back-catalog additions to the operating system, a purge of zombie shelved/cancelled entries, Middle East network consolidation, and a fuel-taxonomy standardization — against only ~950 km of carried-over projects actually breaking ground. The two questionable edits it introduced are the Western Crude Oil Parallel mainline revival (2,041 km, unsupported by evidence — see companion memo) and the Angola–Zambia deletion (arguably premature given Zambia’s March 2026 cabinet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