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sz w:val="30"/>
        </w:rPr>
        <w:t>Global Oil Infrastructure Tracker — Release Notes</w:t>
      </w:r>
    </w:p>
    <w:p>
      <w:pPr>
        <w:spacing w:before="40" w:after="60"/>
      </w:pPr>
      <w:r>
        <w:rPr>
          <w:rFonts w:ascii="Calibri" w:hAnsi="Calibri"/>
          <w:b/>
          <w:sz w:val="22"/>
        </w:rPr>
        <w:t>June 2026 release</w:t>
      </w:r>
    </w:p>
    <w:p>
      <w:pPr>
        <w:spacing w:after="120"/>
      </w:pPr>
      <w:r>
        <w:t>These notes summarize the data added, removed, and revised in the June 2026 update to the Global Oil Infrastructure Tracker (GOIT). GOIT maps the world’s transmission-scale crude oil, petroleum-products, and natural gas liquid (NGL) pipelines.</w:t>
      </w:r>
    </w:p>
    <w:p>
      <w:pPr>
        <w:spacing w:before="200" w:after="60"/>
      </w:pPr>
      <w:r>
        <w:rPr>
          <w:rFonts w:ascii="Calibri" w:hAnsi="Calibri"/>
          <w:b/>
          <w:sz w:val="26"/>
        </w:rPr>
        <w:t>Overview</w:t>
      </w:r>
    </w:p>
    <w:p>
      <w:pPr>
        <w:pStyle w:val="ListBullet"/>
        <w:spacing w:after="60"/>
      </w:pPr>
      <w:r>
        <w:t>As of this release, GOIT tracks 1,634 oil pipeline projects (some 487,000 km) and 292 NGL pipeline projects (about 111,000 km) worldwide.</w:t>
      </w:r>
    </w:p>
    <w:p>
      <w:pPr>
        <w:pStyle w:val="ListBullet"/>
        <w:spacing w:after="60"/>
      </w:pPr>
      <w:r>
        <w:t>Roughly 32,400 km of oil pipelines are in development — about 12,300 km under construction and 20,100 km proposed — representing an estimated US$98 billion in capital expenditure.</w:t>
      </w:r>
    </w:p>
    <w:p>
      <w:pPr>
        <w:pStyle w:val="ListBullet"/>
        <w:spacing w:after="60"/>
      </w:pPr>
      <w:r>
        <w:t>This in-development buildout is concentrated in Asia and Africa, which together account for about two-thirds (68%) of in-development oil and NGL pipeline length.</w:t>
      </w:r>
    </w:p>
    <w:p>
      <w:pPr>
        <w:spacing w:before="200" w:after="60"/>
      </w:pPr>
      <w:r>
        <w:rPr>
          <w:rFonts w:ascii="Calibri" w:hAnsi="Calibri"/>
          <w:b/>
          <w:sz w:val="26"/>
        </w:rPr>
        <w:t>What changed in this release</w:t>
      </w:r>
    </w:p>
    <w:p>
      <w:pPr>
        <w:pStyle w:val="ListBullet"/>
        <w:spacing w:after="60"/>
      </w:pPr>
      <w:r>
        <w:t>This was primarily a clean-up and data-resolution cycle, with major overhauls across the Middle East to support reporting on the Strait of Hormuz.</w:t>
      </w:r>
    </w:p>
    <w:p>
      <w:pPr>
        <w:pStyle w:val="ListBullet"/>
        <w:spacing w:after="60"/>
      </w:pPr>
      <w:r>
        <w:t>114 pipeline projects were added worldwide and 63 were removed, for a net length increase of about 3,900 km.</w:t>
      </w:r>
    </w:p>
    <w:p>
      <w:pPr>
        <w:pStyle w:val="ListBullet"/>
        <w:spacing w:after="60"/>
      </w:pPr>
      <w:r>
        <w:t>Most additions were back-catalog research on existing infrastructure: 89 operating segments (about 15,200 km), concentrated in Canada, Nigeria, and India.</w:t>
      </w:r>
    </w:p>
    <w:p>
      <w:pPr>
        <w:pStyle w:val="ListBullet"/>
        <w:spacing w:after="60"/>
      </w:pPr>
      <w:r>
        <w:t>Genuinely new in-development entries total about 11,650 km, led by the Kandla–Gorakhpur LPG pipeline (2,805 km, under construction) and the proposed Iraq–Oman crude pipeline (1,717 km).</w:t>
      </w:r>
    </w:p>
    <w:p>
      <w:pPr>
        <w:pStyle w:val="ListBullet"/>
        <w:spacing w:after="60"/>
      </w:pPr>
      <w:r>
        <w:t>Total in-development length decreased from 48,448 km to 43,476 km. The proposed pipeline shrank (roughly 31,700 km to 25,800 km), while construction-stage length edged up (roughly 16,800 km to 17,700 km) across fewer but larger projects.</w:t>
      </w:r>
    </w:p>
    <w:p>
      <w:pPr>
        <w:spacing w:before="200" w:after="60"/>
      </w:pPr>
      <w:r>
        <w:rPr>
          <w:rFonts w:ascii="Calibri" w:hAnsi="Calibri"/>
          <w:b/>
          <w:sz w:val="26"/>
        </w:rPr>
        <w:t>Scope and coverage</w:t>
      </w:r>
    </w:p>
    <w:p>
      <w:pPr>
        <w:pStyle w:val="ListBullet"/>
        <w:spacing w:after="60"/>
      </w:pPr>
      <w:r>
        <w:t>GOIT aims to capture all transmission-scale (trunk) crude oil, petroleum-products, and NGL pipelines worldwide, at any project status — proposed, under construction, operating, idle, mothballed, shelved, cancelled, or retired. It does not track gathering or local distribution lines.</w:t>
      </w:r>
    </w:p>
    <w:p>
      <w:pPr>
        <w:pStyle w:val="ListBullet"/>
        <w:spacing w:after="60"/>
      </w:pPr>
      <w:r>
        <w:t>Each pipeline is documented on a footnoted GEM.wiki page, and the full dataset, route maps, and summary tables are freely available on the GOIT tracker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