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sz w:val="20"/>
        </w:rPr>
        <w:t>GOIT June 2026 — why new oil pipeline buildout has shifted to Asia and Africa</w:t>
      </w:r>
    </w:p>
    <w:p>
      <w:pPr>
        <w:spacing w:after="120"/>
      </w:pPr>
      <w:r>
        <w:rPr>
          <w:rFonts w:ascii="Calibri" w:hAnsi="Calibri"/>
          <w:b w:val="0"/>
          <w:sz w:val="20"/>
        </w:rPr>
        <w:t>Global Oil Infrastructure Tracker, June 2026 release (oil + NGL combined). Figures are in-development length (proposed + under construction) unless noted. Prepared 15 June 2026.</w:t>
      </w:r>
    </w:p>
    <w:p>
      <w:pPr>
        <w:spacing w:before="160" w:after="60"/>
      </w:pPr>
      <w:r>
        <w:rPr>
          <w:rFonts w:ascii="Calibri" w:hAnsi="Calibri"/>
          <w:b/>
          <w:sz w:val="20"/>
        </w:rPr>
        <w:t>Bottom line</w:t>
      </w:r>
    </w:p>
    <w:p>
      <w:pPr>
        <w:spacing w:after="120"/>
      </w:pPr>
      <w:r>
        <w:rPr>
          <w:rFonts w:ascii="Calibri" w:hAnsi="Calibri"/>
          <w:b w:val="0"/>
          <w:sz w:val="20"/>
        </w:rPr>
        <w:t>Asia and Africa lead new pipeline development for opposite reasons. Asia's buildout is a downstream pull — pipelines built to feed expanding refineries that serve the world's fastest-growing oil demand. Africa's is an upstream push — pipelines built to move newly tapped, landlocked crude to a coast for export. “Energy independence” is rhetorical backdrop in both, not the proximate driver. And “Asia” is really India: China has largely stopped building trunk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What's driving 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Anchor projects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Typical stage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Asia (India)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Refining-capacity expansion + record demand growth; household LPG access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Paradip–Numaligarh; New Mundra–Panipat; Kandla–Gorakhpur LPG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Mostly under construction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Africa (Sub-Saharan)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Export of landlocked / stranded crude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EACOP; LAPSSET; Niger–Benin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Mostly proposed / stalled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sz w:val="20"/>
        </w:rPr>
        <w:t>Asia / India — a downstream pull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Demand growth is the foundation. </w:t>
      </w:r>
      <w:r>
        <w:rPr>
          <w:rFonts w:ascii="Calibri" w:hAnsi="Calibri"/>
          <w:sz w:val="20"/>
        </w:rPr>
        <w:t>The IEA identifies India as the single largest source of global oil-demand growth to 2030 (roughly +1 Mb/d more than any other country), and the EIA reports India overtook China as the top source of consumption growth in 2024–25. [IEA via PIB, Feb 2024; EIA Today in Energy, 19 Dec 2024]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Refining expansion is the direct cause of the pipelines. </w:t>
      </w:r>
      <w:r>
        <w:rPr>
          <w:rFonts w:ascii="Calibri" w:hAnsi="Calibri"/>
          <w:sz w:val="20"/>
        </w:rPr>
        <w:t>India is pushing refining capacity from ~256 MMTPA toward a 400–450 MMTPA target, and the two crude lines under construction map one-to-one onto refinery expansions: Paradip–Numaligarh feeds Numaligarh's 3→9 MMTPA expansion, and New Mundra–Panipat feeds IOCL Panipat's 15→25 MMTPA. These are imported-crude-to-inland-refinery logistics lines. [PIB / Min. Puri; Energies Media, 23 Feb 2026; Business Standard, 2 Jun 2025]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The largest NGL line is a social-policy play. </w:t>
      </w:r>
      <w:r>
        <w:rPr>
          <w:rFonts w:ascii="Calibri" w:hAnsi="Calibri"/>
          <w:sz w:val="20"/>
        </w:rPr>
        <w:t>Kandla–Gorakhpur (the world's longest LPG pipeline) links import terminals and refineries to bottling plants, serving household LPG demand under the Ujjwala (PMUY) clean-cooking program. [IndianOil, iocl.com]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Energy security is context, not cause. </w:t>
      </w:r>
      <w:r>
        <w:rPr>
          <w:rFonts w:ascii="Calibri" w:hAnsi="Calibri"/>
          <w:sz w:val="20"/>
        </w:rPr>
        <w:t>India imports ~88% of its crude and supply-security language is pervasive — but that logic drives source diversification and import terminals, not these specific domestic pipelines. [PPAC, Apr 2026]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Why not China. </w:t>
      </w:r>
      <w:r>
        <w:rPr>
          <w:rFonts w:ascii="Calibri" w:hAnsi="Calibri"/>
          <w:sz w:val="20"/>
        </w:rPr>
        <w:t>Chinese oil demand is peaking; Beijing has capped refining capacity (~20 Mb/d) and is consolidating its Shandong “teapot” refiners. New pipe is confined to coastal mega-clusters (e.g., Yulong), not long inland trunks — which is why China shows up in the tracker as small refinery-cluster plumbing, and “Asia” is really India. [Reuters, 16 Jan 2025; Bloomberg, 5 Jan 2025]</w:t>
      </w:r>
    </w:p>
    <w:p>
      <w:pPr>
        <w:spacing w:before="160" w:after="60"/>
      </w:pPr>
      <w:r>
        <w:rPr>
          <w:rFonts w:ascii="Calibri" w:hAnsi="Calibri"/>
          <w:b/>
          <w:sz w:val="20"/>
        </w:rPr>
        <w:t>Africa — an upstream push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EACOP moves landlocked crude to the sea. </w:t>
      </w:r>
      <w:r>
        <w:rPr>
          <w:rFonts w:ascii="Calibri" w:hAnsi="Calibri"/>
          <w:sz w:val="20"/>
        </w:rPr>
        <w:t>Uganda's Lake Albert oil (Tilenga/Kingfisher) has no domestic outlet — the Hoima refinery (~60,000 bpd) is delayed to ~2030 — so the 1,443 km line to Tanga, Tanzania exists to export. [eacop.com; TanzaniaInvest, Apr 2026]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LAPSSET is the same logic, stalled. </w:t>
      </w:r>
      <w:r>
        <w:rPr>
          <w:rFonts w:ascii="Calibri" w:hAnsi="Calibri"/>
          <w:sz w:val="20"/>
        </w:rPr>
        <w:t>It would evacuate landlocked South Sudan and Kenyan Turkana crude to Lamu, but is held up by security, commercial viability, and financing, with first oil pushed to the 2030s. [AU-PIDA]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Niger's lines export new upstream production. </w:t>
      </w:r>
      <w:r>
        <w:rPr>
          <w:rFonts w:ascii="Calibri" w:hAnsi="Calibri"/>
          <w:sz w:val="20"/>
        </w:rPr>
        <w:t>The CNPC-built Niger–Benin pipeline carried its first export cargo in May 2024, monetizing Agadem-basin crude from a previously landlocked producer; a Niger–Chad route is the contingency. [Maritime Executive, 19 May 2024; OilPrice, 19 Aug 2024]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The pattern is explicit in the literature. </w:t>
      </w:r>
      <w:r>
        <w:rPr>
          <w:rFonts w:ascii="Calibri" w:hAnsi="Calibri"/>
          <w:sz w:val="20"/>
        </w:rPr>
        <w:t>Analysts describe African crude pipelines as strategic infrastructure serving external demand rather than domestic refining or consumption. [Policy Center for the New South / F. Perrin, 29 Aug 2024]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The contrast cases confirm it. </w:t>
      </w:r>
      <w:r>
        <w:rPr>
          <w:rFonts w:ascii="Calibri" w:hAnsi="Calibri"/>
          <w:sz w:val="20"/>
        </w:rPr>
        <w:t>The one demand-driven regional line, Tazama (Tanzania–Zambia), is being repurposed from crude to refined products; Nigeria's Dangote refinery is coastal and subsea-fed. Neither generates cross-border crude-pipeline buildout. [The Citizen; EIA Nigeria, 2025]</w:t>
      </w:r>
    </w:p>
    <w:p>
      <w:pPr>
        <w:spacing w:before="160" w:after="60"/>
      </w:pPr>
      <w:r>
        <w:rPr>
          <w:rFonts w:ascii="Calibri" w:hAnsi="Calibri"/>
          <w:b/>
          <w:sz w:val="20"/>
        </w:rPr>
        <w:t>Important caveat</w:t>
      </w:r>
    </w:p>
    <w:p>
      <w:pPr>
        <w:spacing w:after="120"/>
      </w:pPr>
      <w:r>
        <w:rPr>
          <w:rFonts w:ascii="Calibri" w:hAnsi="Calibri"/>
          <w:b w:val="0"/>
          <w:sz w:val="20"/>
        </w:rPr>
        <w:t>The headline “Asia and Africa” masks two things. First, it is really India that is building: among the four leading subregions, only Southern and Eastern Asia have anything under construction, and India alone is about one-third of all global construction-stage length (5,473 km). Second, Africa's buildout is overwhelmingly proposed and often stalled — only EACOP is actually being built (and it is mislabeled “proposed” in the tracker though it is ~82% complete). The accurate framing: India is building now; Africa is mostly aspiring.</w:t>
      </w:r>
    </w:p>
    <w:p>
      <w:pPr>
        <w:spacing w:before="160" w:after="60"/>
      </w:pPr>
      <w:r>
        <w:rPr>
          <w:rFonts w:ascii="Calibri" w:hAnsi="Calibri"/>
          <w:b/>
          <w:sz w:val="20"/>
        </w:rPr>
        <w:t>Sources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IEA, oil demand growth outlook to 2030 (India as largest single source) — via PIB, Feb 2024; S&amp;P Global Commodity Insights, 7 Feb 2024.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EIA, “Today in Energy,” 19 Dec 2024 — India as top source of global consumption growth, 2024–25.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PIB / Ministry of Petroleum &amp; Natural Gas (Min. Hardeep Singh Puri) — refining-capacity target ~400–450 MMTPA.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Energies Media, 23 Feb 2026 — Paradip–Numaligarh crude pipeline and Numaligarh 3→9 MMTPA expansion.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Business Standard, 2 Jun 2025 — New Mundra–Panipat pipeline and IOCL Panipat 15→25 MMTPA expansion.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IndianOil (iocl.com) — Kandla–Gorakhpur LPG pipeline; Ujjwala (PMUY) household-LPG context.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PPAC (Petroleum Planning &amp; Analysis Cell), Apr 2026 — India crude import dependence ~88%.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Reuters, 16 Jan 2025; Bloomberg, 5 Jan 2025 — China refining-capacity cap (~20 Mb/d), teapot consolidation, coastal clustering.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eacop.com — EACOP route, ownership, and export rationale; TanzaniaInvest, Apr 2026.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AU-PIDA / LAPSSET corridor documentation — Lamu–South Sudan–Turkana export pipeline status.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Maritime Executive, 19 May 2024; OilPrice, 19 Aug 2024 — Niger–Benin first export cargo; Niger–Chad contingency.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Policy Center for the New South / Francis Perrin, 29 Aug 2024 — African crude pipelines as export-oriented strategic infrastructure.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The Citizen — Tazama pipeline crude-to-products repurposing; EIA Nigeria country brief, 2025 — Dangote refinery (coastal, subsea-fed).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