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GOIT release YoY drivers: why oil pipelines in development fell, 2025 → June 2026</w:t>
      </w:r>
    </w:p>
    <w:p>
      <w:r>
        <w:rPr>
          <w:b w:val="0"/>
        </w:rPr>
        <w:t>Prepared 16 June 2026. Companion to the June 2025→June 2026 release-diff memo. This memo explains the drop in the headline oil figure — oil-only fuel bucket, per-pipeline LengthMergedKm (pipes-tab) basis, in development = proposed + construction. Baseline is the corrected March 2025 release (key 1MK6yV…), regenerated to repair an incomplete Country-ratios tab; compared against the June 2026 release (key 1gChR…). Every reason below is grounded in the tracker's own ResearcherNotes, Background, and status/shelved/cancelled reference fields — no external sources were consulted for this memo.</w:t>
      </w:r>
    </w:p>
    <w:p>
      <w:r>
        <w:rPr>
          <w:b/>
        </w:rPr>
        <w:t>Headline</w:t>
      </w:r>
    </w:p>
    <w:p>
      <w:pPr>
        <w:pStyle w:val="ListBullet"/>
      </w:pPr>
      <w:r>
        <w:t>Oil in development fell from 45,358 km (March 2025, corrected) to 32,385 km (June 2026) — a drop of 12,973 km, about −29%.</w:t>
      </w:r>
    </w:p>
    <w:p>
      <w:pPr>
        <w:pStyle w:val="ListBullet"/>
      </w:pPr>
      <w:r>
        <w:t>The published March 2025 summary sheet reported only 38,230 km. It undercounted by 7,129 km because its Country-ratios tab was missing recently-added pipelines (median ProjectID of the missing rows ~7,292 vs ~5,346 for those present — a backend-derived table that lagged new projects, with no consistency guard at the time). The corrected baseline lives in GOIT-Summary-Sheets-Oil-2025-03-REGENERATED.xlsx and ties out exactly to the March 2025 pipes tab. The 2026 notebook now carries a pipes-vs-ratios guard so this cannot recur silently.</w:t>
      </w:r>
    </w:p>
    <w:p>
      <w:r>
        <w:rPr>
          <w:b/>
        </w:rPr>
        <w:t>Where the 45,358 km went (oil bucket, pipes basis)</w:t>
      </w:r>
    </w:p>
    <w:p>
      <w:r>
        <w:rPr>
          <w:b w:val="0"/>
        </w:rPr>
        <w:t>ProjectID-matched accounting from the March 2025 in-development pool:</w:t>
      </w:r>
    </w:p>
    <w:p>
      <w:pPr>
        <w:pStyle w:val="ListBullet"/>
      </w:pPr>
      <w:r>
        <w:t>Reclassified out of the oil fuel bucket — 5,222 km. Largest single force. These ProjectIDs survive but no longer count as crude oil.</w:t>
      </w:r>
    </w:p>
    <w:p>
      <w:pPr>
        <w:pStyle w:val="ListBullet"/>
      </w:pPr>
      <w:r>
        <w:t>Shelved — 4,658 km.</w:t>
      </w:r>
    </w:p>
    <w:p>
      <w:pPr>
        <w:pStyle w:val="ListBullet"/>
      </w:pPr>
      <w:r>
        <w:t>Deleted (ProjectID no longer in the tracker) — 3,566 km.</w:t>
      </w:r>
    </w:p>
    <w:p>
      <w:pPr>
        <w:pStyle w:val="ListBullet"/>
      </w:pPr>
      <w:r>
        <w:t>Came online (→ operating) — 1,649 km.</w:t>
      </w:r>
    </w:p>
    <w:p>
      <w:pPr>
        <w:pStyle w:val="ListBullet"/>
      </w:pPr>
      <w:r>
        <w:t>Cancelled — 1,275 km.</w:t>
      </w:r>
    </w:p>
    <w:p>
      <w:pPr>
        <w:pStyle w:val="ListBullet"/>
      </w:pPr>
      <w:r>
        <w:t>Stayed in development — ~28,988 km, but remeasured ~1,800 km shorter on surviving rows, leaving ~27,188 km.</w:t>
      </w:r>
    </w:p>
    <w:p>
      <w:pPr>
        <w:pStyle w:val="ListBullet"/>
      </w:pPr>
      <w:r>
        <w:t>Inflows: ~5,130 km of new ProjectIDs entering in development, plus ~70 km moving in from operating.</w:t>
      </w:r>
    </w:p>
    <w:p>
      <w:pPr>
        <w:pStyle w:val="ListBullet"/>
      </w:pPr>
      <w:r>
        <w:t>Net: ~27,188 + 5,130 + 70 ≈ 32,385 km.</w:t>
      </w:r>
    </w:p>
    <w:p>
      <w:r>
        <w:rPr>
          <w:b/>
        </w:rPr>
        <w:t>Driver 1 — Taxonomy / data-quality cleanup (~6,800 km, the single biggest force)</w:t>
      </w:r>
    </w:p>
    <w:p>
      <w:r>
        <w:rPr>
          <w:b w:val="0"/>
        </w:rPr>
        <w:t>Most of the headline drop is reclassification and confidence correction, not projects dying.</w:t>
      </w:r>
    </w:p>
    <w:p>
      <w:pPr>
        <w:pStyle w:val="ListBullet"/>
      </w:pPr>
      <w:r>
        <w:t>Reclassified out of "oil" (5,222 km): these were not crude lines. Angola–Zambia (1,400 km) recoded to oil products (feasibility study completed 2024 per its Background field). Brazil’s Uberaba–Cuiabá and Araucária–Cuiabá (~1,900 km combined) recoded to "NGL, oil products" citing Brazilian EPE planning documents. Iran’s Mehraran–Shiraz (~400 km) recoded to products. These move to the NGL/products view, not out of the tracker.</w:t>
      </w:r>
    </w:p>
    <w:p>
      <w:pPr>
        <w:pStyle w:val="ListBullet"/>
      </w:pPr>
      <w:r>
        <w:t>Confidence-driven shelving: Western Crude Oil Parallel (1,620 km, China) — ResearcherNotes flag no owner information and that ownership "needs to be verified," with the only basis a 2017 NDRC plan. Status realism, not a project cancellation event.</w:t>
      </w:r>
    </w:p>
    <w:p>
      <w:r>
        <w:rPr>
          <w:b/>
        </w:rPr>
        <w:t>Driver 2 — Middle East consolidation &amp; geopolitics (~5,000 km)</w:t>
      </w:r>
    </w:p>
    <w:p>
      <w:pPr>
        <w:pStyle w:val="ListBullet"/>
      </w:pPr>
      <w:r>
        <w:t>Basra–North Baghdad–Syria deleted (2 × 1,248 km): ResearcherNotes point to the Basra–Haditha project, for which Iraq allocated $4.5B in December 2024 (Reuters ref in the field). Reads as re-scoping/consolidation of the Iraqi network, not abandonment — the successor line is in the tracker under a different ProjectID.</w:t>
      </w:r>
    </w:p>
    <w:p>
      <w:pPr>
        <w:pStyle w:val="ListBullet"/>
      </w:pPr>
      <w:r>
        <w:t>Kirkuk–Baniyas churn: three old segments (3 × 800 km) shelved while an 800 km segment re-enters under a new ProjectID. Reference fields tie this to Iraq–Syria pipeline revival talks. Net effect is ID restructuring plus geopolitical uncertainty, not a clean deletion.</w:t>
      </w:r>
    </w:p>
    <w:p>
      <w:r>
        <w:rPr>
          <w:b/>
        </w:rPr>
        <w:t>Driver 3 — China status realism</w:t>
      </w:r>
    </w:p>
    <w:p>
      <w:pPr>
        <w:pStyle w:val="ListBullet"/>
      </w:pPr>
      <w:r>
        <w:t>Golmud–Xining–Lanzhou cancelled (790 km), Rizhao–Zhanhua cancelled (485 km), and the Dongying lines deleted — status/cancelled reference fields cite Chinese five-year-plan and regulatory documents showing no construction activity. A continuation of the zombie-entry purge noted in the release-diff memo.</w:t>
      </w:r>
    </w:p>
    <w:p>
      <w:r>
        <w:rPr>
          <w:b/>
        </w:rPr>
        <w:t>Driver 4 — Genuine progression (why construction held up while proposed collapsed)</w:t>
      </w:r>
    </w:p>
    <w:p>
      <w:pPr>
        <w:pStyle w:val="ListBullet"/>
      </w:pPr>
      <w:r>
        <w:t>Came online (→ operating): Oldelval (525 km), Pacific (200 km), Peace (150 km), and Vaca Muerta Sur (128 km) in Argentina; Dongying–Guangrao in China. Real buildout maturing out of the in-development pool.</w:t>
      </w:r>
    </w:p>
    <w:p>
      <w:pPr>
        <w:pStyle w:val="ListBullet"/>
      </w:pPr>
      <w:r>
        <w:t>Broke ground / new construction: Dornod–Sainshand (530 km, Mongolia) among new construction-stage entrants.</w:t>
      </w:r>
    </w:p>
    <w:p>
      <w:r>
        <w:rPr>
          <w:b/>
        </w:rPr>
        <w:t>Driver 5 — New proposals entering (~5,130 km inflow)</w:t>
      </w:r>
    </w:p>
    <w:p>
      <w:pPr>
        <w:pStyle w:val="ListBullet"/>
      </w:pPr>
      <w:r>
        <w:t>Largest new in-development entrants include Iraq–Oman (1,717 km) and the Bridger Pipeline Expansion (1,041 km, US), plus the re-IDed Kirkuk–Baniyas segment noted above. Partly offsets the outflows.</w:t>
      </w:r>
    </w:p>
    <w:p>
      <w:r>
        <w:rPr>
          <w:b/>
        </w:rPr>
        <w:t>Takeaway</w:t>
      </w:r>
    </w:p>
    <w:p>
      <w:r>
        <w:rPr>
          <w:b w:val="0"/>
        </w:rPr>
        <w:t>The −29% oil-in-development drop is mostly a measurement-and-classification story, not a collapse in real pipeline ambition. The biggest single contributor is reclassification of products/NGL lines out of the oil bucket (~5,200 km), followed by status realism (shelving and cancelling poorly-sourced or stalled entries, ~5,900 km) and Middle East network consolidation. Genuine progress — Argentine and Chinese lines coming online — also pulls km out of "in development" in the healthy direction. New proposals (~5,130 km) partly refill the pool. The corrected March 2025 baseline (45,358 km, not the published 38,230) is the right comparison point; using the published figure would understate the real year-over-year decline.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