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GOIT Crude &amp; NGL Pipeline Coverage — Global Benchmarking</w:t>
      </w:r>
    </w:p>
    <w:p>
      <w:r>
        <w:rPr>
          <w:i/>
          <w:sz w:val="21"/>
        </w:rPr>
        <w:t>How comprehensive is GEM's Global Oil Infrastructure Tracker for transmission networks?</w:t>
      </w:r>
    </w:p>
    <w:p>
      <w:r>
        <w:rPr>
          <w:sz w:val="18"/>
        </w:rPr>
        <w:t>June 2026 release · benchmarked against national regulators and operators · prepared 2026-06-16</w:t>
      </w:r>
    </w:p>
    <w:p>
      <w:r>
        <w:rPr>
          <w:b/>
          <w:sz w:val="26"/>
        </w:rPr>
        <w:t>Bottom line</w:t>
      </w:r>
    </w:p>
    <w:p>
      <w:r>
        <w:t>Benchmarked against the best available transmission-only crude figures from national regulators and pipeline operators, GOIT is comprehensive-to-leading for crude-oil transmission across most of the world. Of the 15 countries for which a credible crude-only transmission benchmark exists, GOIT meets or exceeds it in 9 — including the two largest networks after the United States (Russia at ~105% and China at ~137% of the external figure). The genuine coverage gaps are concentrated and explainable, not global:</w:t>
      </w:r>
    </w:p>
    <w:p>
      <w:pPr>
        <w:pStyle w:val="ListBullet"/>
      </w:pPr>
      <w:r>
        <w:rPr>
          <w:b/>
        </w:rPr>
        <w:t xml:space="preserve">United States (crude). </w:t>
      </w:r>
      <w:r>
        <w:t>the United States is the one large, high-confidence crude gap — GOIT carries ~87,024 km of operating crude transmission vs PHMSA's ~133,967 km (~65%), a ~47,000 km shortfall;</w:t>
      </w:r>
    </w:p>
    <w:p>
      <w:pPr>
        <w:pStyle w:val="ListBullet"/>
      </w:pPr>
      <w:r>
        <w:rPr>
          <w:b/>
        </w:rPr>
        <w:t xml:space="preserve">NGL everywhere. </w:t>
      </w:r>
      <w:r>
        <w:t>NGL is the systematic undercount — GOIT's US NGL/HVL operating total (~54,313 km) is roughly half of PHMSA's highly-volatile-liquids transmission mileage (~49%);</w:t>
      </w:r>
    </w:p>
    <w:p>
      <w:pPr>
        <w:pStyle w:val="ListBullet"/>
      </w:pPr>
      <w:r>
        <w:rPr>
          <w:b/>
        </w:rPr>
        <w:t xml:space="preserve">Algeria and Brazil. </w:t>
      </w:r>
      <w:r>
        <w:t>Algeria (~77% vs a 2013 CIA figure, and lower against Sonatrach's own ~9,883 km) and Brazil crude (~73% vs corrected ANP open data, ~2,338 km) are the most credible mid-size crude gaps worth auditing.</w:t>
      </w:r>
    </w:p>
    <w:p>
      <w:r>
        <w:t>Everywhere else, apparent shortfalls dissolve under scrutiny: Egypt (~48%) and Venezuela (~49%) are measured against stale 2013 CIA "built-network" figures, and GOIT's operating-only totals plausibly track today's degraded operational reality rather than a coverage gap. Several headline external numbers (Mexico 10,006 km; Indonesia 7,767 km) are gathering-contaminated and must never be scored as gaps, since GOIT excludes gathering by design.</w:t>
      </w:r>
    </w:p>
    <w:p>
      <w:r>
        <w:rPr>
          <w:b/>
          <w:sz w:val="26"/>
        </w:rPr>
        <w:t>Scope and method</w:t>
      </w:r>
    </w:p>
    <w:p>
      <w:r>
        <w:t>GOIT primarily tracks transmission (trunk / long-distance) crude and NGL pipelines, not field gathering or local distribution. All comparisons below are therefore against transmission-only external figures wherever one could be isolated. GOIT being smaller than a gathering-inclusive total is expected and correct, not a coverage gap. Coverage % = GOIT operating km ÷ external transmission-only benchmark. Benchmarks were collected and adversarially verified in a 46-agent national-regulator sweep (June 2026); each was checked for (1) transmission-only scope, (2) crude-vs-products-vs-gas fuel isolation, (3) source authenticity, and (4) data vintage.</w:t>
      </w:r>
    </w:p>
    <w:p>
      <w:r>
        <w:rPr>
          <w:b/>
          <w:sz w:val="26"/>
        </w:rPr>
        <w:t>GOIT baseline (June 2026 release)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
              <w:rPr>
                <w:rFonts w:ascii="Calibri" w:hAnsi="Calibri"/>
                <w:b/>
                <w:sz w:val="19"/>
              </w:rPr>
              <w:t>Fuel</w:t>
            </w:r>
          </w:p>
        </w:tc>
        <w:tc>
          <w:tcPr>
            <w:tcW w:type="dxa" w:w="2160"/>
          </w:tcPr>
          <w:p>
            <w:r/>
            <w:r>
              <w:rPr>
                <w:rFonts w:ascii="Calibri" w:hAnsi="Calibri"/>
                <w:b/>
                <w:sz w:val="19"/>
              </w:rPr>
              <w:t>Projects</w:t>
            </w:r>
          </w:p>
        </w:tc>
        <w:tc>
          <w:tcPr>
            <w:tcW w:type="dxa" w:w="2160"/>
          </w:tcPr>
          <w:p>
            <w:r/>
            <w:r>
              <w:rPr>
                <w:rFonts w:ascii="Calibri" w:hAnsi="Calibri"/>
                <w:b/>
                <w:sz w:val="19"/>
              </w:rPr>
              <w:t>Total km</w:t>
            </w:r>
          </w:p>
        </w:tc>
        <w:tc>
          <w:tcPr>
            <w:tcW w:type="dxa" w:w="2160"/>
          </w:tcPr>
          <w:p>
            <w:r/>
            <w:r>
              <w:rPr>
                <w:rFonts w:ascii="Calibri" w:hAnsi="Calibri"/>
                <w:b/>
                <w:sz w:val="19"/>
              </w:rPr>
              <w:t>Operating km</w:t>
            </w:r>
          </w:p>
        </w:tc>
      </w:tr>
      <w:tr>
        <w:tc>
          <w:tcPr>
            <w:tcW w:type="dxa" w:w="2160"/>
          </w:tcPr>
          <w:p>
            <w:r/>
            <w:r>
              <w:rPr>
                <w:rFonts w:ascii="Calibri" w:hAnsi="Calibri"/>
                <w:sz w:val="19"/>
              </w:rPr>
              <w:t>Crude oil</w:t>
            </w:r>
          </w:p>
        </w:tc>
        <w:tc>
          <w:tcPr>
            <w:tcW w:type="dxa" w:w="2160"/>
          </w:tcPr>
          <w:p>
            <w:r/>
            <w:r>
              <w:rPr>
                <w:rFonts w:ascii="Calibri" w:hAnsi="Calibri"/>
                <w:sz w:val="19"/>
              </w:rPr>
              <w:t>1,634</w:t>
            </w:r>
          </w:p>
        </w:tc>
        <w:tc>
          <w:tcPr>
            <w:tcW w:type="dxa" w:w="2160"/>
          </w:tcPr>
          <w:p>
            <w:r/>
            <w:r>
              <w:rPr>
                <w:rFonts w:ascii="Calibri" w:hAnsi="Calibri"/>
                <w:sz w:val="19"/>
              </w:rPr>
              <w:t>~487,000</w:t>
            </w:r>
          </w:p>
        </w:tc>
        <w:tc>
          <w:tcPr>
            <w:tcW w:type="dxa" w:w="2160"/>
          </w:tcPr>
          <w:p>
            <w:r/>
            <w:r>
              <w:rPr>
                <w:rFonts w:ascii="Calibri" w:hAnsi="Calibri"/>
                <w:sz w:val="19"/>
              </w:rPr>
              <w:t>~346,476</w:t>
            </w:r>
          </w:p>
        </w:tc>
      </w:tr>
      <w:tr>
        <w:tc>
          <w:tcPr>
            <w:tcW w:type="dxa" w:w="2160"/>
          </w:tcPr>
          <w:p>
            <w:r/>
            <w:r>
              <w:rPr>
                <w:rFonts w:ascii="Calibri" w:hAnsi="Calibri"/>
                <w:sz w:val="19"/>
              </w:rPr>
              <w:t>NGL</w:t>
            </w:r>
          </w:p>
        </w:tc>
        <w:tc>
          <w:tcPr>
            <w:tcW w:type="dxa" w:w="2160"/>
          </w:tcPr>
          <w:p>
            <w:r/>
            <w:r>
              <w:rPr>
                <w:rFonts w:ascii="Calibri" w:hAnsi="Calibri"/>
                <w:sz w:val="19"/>
              </w:rPr>
              <w:t>292</w:t>
            </w:r>
          </w:p>
        </w:tc>
        <w:tc>
          <w:tcPr>
            <w:tcW w:type="dxa" w:w="2160"/>
          </w:tcPr>
          <w:p>
            <w:r/>
            <w:r>
              <w:rPr>
                <w:rFonts w:ascii="Calibri" w:hAnsi="Calibri"/>
                <w:sz w:val="19"/>
              </w:rPr>
              <w:t>~112,000</w:t>
            </w:r>
          </w:p>
        </w:tc>
        <w:tc>
          <w:tcPr>
            <w:tcW w:type="dxa" w:w="2160"/>
          </w:tcPr>
          <w:p>
            <w:r/>
            <w:r>
              <w:rPr>
                <w:rFonts w:ascii="Calibri" w:hAnsi="Calibri"/>
                <w:sz w:val="19"/>
              </w:rPr>
              <w:t>~95,826</w:t>
            </w:r>
          </w:p>
        </w:tc>
      </w:tr>
    </w:tbl>
    <w:p>
      <w:r>
        <w:t>Fuel buckets and status lists come from the gem-tracker-constants package, so these totals match the QC summary sheets exactly.</w:t>
      </w:r>
    </w:p>
    <w:p>
      <w:r>
        <w:rPr>
          <w:b/>
          <w:sz w:val="26"/>
        </w:rPr>
        <w:t>Per-country crude coverage</w:t>
      </w:r>
    </w:p>
    <w:p>
      <w:r>
        <w:t>Sorted by GOIT operating km. "Meets/exceeds" means GOIT is at or above the external transmission-only benchmark.</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
              <w:rPr>
                <w:rFonts w:ascii="Calibri" w:hAnsi="Calibri"/>
                <w:b/>
                <w:sz w:val="18"/>
              </w:rPr>
              <w:t>Country</w:t>
            </w:r>
          </w:p>
        </w:tc>
        <w:tc>
          <w:tcPr>
            <w:tcW w:type="dxa" w:w="1440"/>
          </w:tcPr>
          <w:p>
            <w:r/>
            <w:r>
              <w:rPr>
                <w:rFonts w:ascii="Calibri" w:hAnsi="Calibri"/>
                <w:b/>
                <w:sz w:val="18"/>
              </w:rPr>
              <w:t>GOIT km</w:t>
            </w:r>
          </w:p>
        </w:tc>
        <w:tc>
          <w:tcPr>
            <w:tcW w:type="dxa" w:w="1440"/>
          </w:tcPr>
          <w:p>
            <w:r/>
            <w:r>
              <w:rPr>
                <w:rFonts w:ascii="Calibri" w:hAnsi="Calibri"/>
                <w:b/>
                <w:sz w:val="18"/>
              </w:rPr>
              <w:t>Bench km</w:t>
            </w:r>
          </w:p>
        </w:tc>
        <w:tc>
          <w:tcPr>
            <w:tcW w:type="dxa" w:w="1440"/>
          </w:tcPr>
          <w:p>
            <w:r/>
            <w:r>
              <w:rPr>
                <w:rFonts w:ascii="Calibri" w:hAnsi="Calibri"/>
                <w:b/>
                <w:sz w:val="18"/>
              </w:rPr>
              <w:t>Coverage</w:t>
            </w:r>
          </w:p>
        </w:tc>
        <w:tc>
          <w:tcPr>
            <w:tcW w:type="dxa" w:w="1440"/>
          </w:tcPr>
          <w:p>
            <w:r/>
            <w:r>
              <w:rPr>
                <w:rFonts w:ascii="Calibri" w:hAnsi="Calibri"/>
                <w:b/>
                <w:sz w:val="18"/>
              </w:rPr>
              <w:t>Conf.</w:t>
            </w:r>
          </w:p>
        </w:tc>
        <w:tc>
          <w:tcPr>
            <w:tcW w:type="dxa" w:w="1440"/>
          </w:tcPr>
          <w:p>
            <w:r/>
            <w:r>
              <w:rPr>
                <w:rFonts w:ascii="Calibri" w:hAnsi="Calibri"/>
                <w:b/>
                <w:sz w:val="18"/>
              </w:rPr>
              <w:t>Note</w:t>
            </w:r>
          </w:p>
        </w:tc>
      </w:tr>
      <w:tr>
        <w:tc>
          <w:tcPr>
            <w:tcW w:type="dxa" w:w="1440"/>
          </w:tcPr>
          <w:p>
            <w:r/>
            <w:r>
              <w:rPr>
                <w:rFonts w:ascii="Calibri" w:hAnsi="Calibri"/>
                <w:sz w:val="17"/>
              </w:rPr>
              <w:t>United States</w:t>
            </w:r>
          </w:p>
        </w:tc>
        <w:tc>
          <w:tcPr>
            <w:tcW w:type="dxa" w:w="1440"/>
          </w:tcPr>
          <w:p>
            <w:r/>
            <w:r>
              <w:rPr>
                <w:rFonts w:ascii="Calibri" w:hAnsi="Calibri"/>
                <w:sz w:val="17"/>
              </w:rPr>
              <w:t>87,024</w:t>
            </w:r>
          </w:p>
        </w:tc>
        <w:tc>
          <w:tcPr>
            <w:tcW w:type="dxa" w:w="1440"/>
          </w:tcPr>
          <w:p>
            <w:r/>
            <w:r>
              <w:rPr>
                <w:rFonts w:ascii="Calibri" w:hAnsi="Calibri"/>
                <w:sz w:val="17"/>
              </w:rPr>
              <w:t>133,967</w:t>
            </w:r>
          </w:p>
        </w:tc>
        <w:tc>
          <w:tcPr>
            <w:tcW w:type="dxa" w:w="1440"/>
          </w:tcPr>
          <w:p>
            <w:r/>
            <w:r>
              <w:rPr>
                <w:rFonts w:ascii="Calibri" w:hAnsi="Calibri"/>
                <w:sz w:val="17"/>
              </w:rPr>
              <w:t>~65%</w:t>
            </w:r>
          </w:p>
        </w:tc>
        <w:tc>
          <w:tcPr>
            <w:tcW w:type="dxa" w:w="1440"/>
          </w:tcPr>
          <w:p>
            <w:r/>
            <w:r>
              <w:rPr>
                <w:rFonts w:ascii="Calibri" w:hAnsi="Calibri"/>
                <w:sz w:val="17"/>
              </w:rPr>
              <w:t>high</w:t>
            </w:r>
          </w:p>
        </w:tc>
        <w:tc>
          <w:tcPr>
            <w:tcW w:type="dxa" w:w="1440"/>
          </w:tcPr>
          <w:p>
            <w:r/>
            <w:r>
              <w:rPr>
                <w:rFonts w:ascii="Calibri" w:hAnsi="Calibri"/>
                <w:sz w:val="17"/>
              </w:rPr>
              <w:t>GAP — largest crude shortfall (~47,000 km). PHMSA crude transmission.</w:t>
            </w:r>
          </w:p>
        </w:tc>
      </w:tr>
      <w:tr>
        <w:tc>
          <w:tcPr>
            <w:tcW w:type="dxa" w:w="1440"/>
          </w:tcPr>
          <w:p>
            <w:r/>
            <w:r>
              <w:rPr>
                <w:rFonts w:ascii="Calibri" w:hAnsi="Calibri"/>
                <w:sz w:val="17"/>
              </w:rPr>
              <w:t>Russia</w:t>
            </w:r>
          </w:p>
        </w:tc>
        <w:tc>
          <w:tcPr>
            <w:tcW w:type="dxa" w:w="1440"/>
          </w:tcPr>
          <w:p>
            <w:r/>
            <w:r>
              <w:rPr>
                <w:rFonts w:ascii="Calibri" w:hAnsi="Calibri"/>
                <w:sz w:val="17"/>
              </w:rPr>
              <w:t>53,509</w:t>
            </w:r>
          </w:p>
        </w:tc>
        <w:tc>
          <w:tcPr>
            <w:tcW w:type="dxa" w:w="1440"/>
          </w:tcPr>
          <w:p>
            <w:r/>
            <w:r>
              <w:rPr>
                <w:rFonts w:ascii="Calibri" w:hAnsi="Calibri"/>
                <w:sz w:val="17"/>
              </w:rPr>
              <w:t>50,800</w:t>
            </w:r>
          </w:p>
        </w:tc>
        <w:tc>
          <w:tcPr>
            <w:tcW w:type="dxa" w:w="1440"/>
          </w:tcPr>
          <w:p>
            <w:r/>
            <w:r>
              <w:rPr>
                <w:rFonts w:ascii="Calibri" w:hAnsi="Calibri"/>
                <w:sz w:val="17"/>
              </w:rPr>
              <w:t>~105%</w:t>
            </w:r>
          </w:p>
        </w:tc>
        <w:tc>
          <w:tcPr>
            <w:tcW w:type="dxa" w:w="1440"/>
          </w:tcPr>
          <w:p>
            <w:r/>
            <w:r>
              <w:rPr>
                <w:rFonts w:ascii="Calibri" w:hAnsi="Calibri"/>
                <w:sz w:val="17"/>
              </w:rPr>
              <w:t>medium</w:t>
            </w:r>
          </w:p>
        </w:tc>
        <w:tc>
          <w:tcPr>
            <w:tcW w:type="dxa" w:w="1440"/>
          </w:tcPr>
          <w:p>
            <w:r/>
            <w:r>
              <w:rPr>
                <w:rFonts w:ascii="Calibri" w:hAnsi="Calibri"/>
                <w:sz w:val="17"/>
              </w:rPr>
              <w:t>Meets/exceeds. Transneft crude trunk (products separate ~16,400 km).</w:t>
            </w:r>
          </w:p>
        </w:tc>
      </w:tr>
      <w:tr>
        <w:tc>
          <w:tcPr>
            <w:tcW w:type="dxa" w:w="1440"/>
          </w:tcPr>
          <w:p>
            <w:r/>
            <w:r>
              <w:rPr>
                <w:rFonts w:ascii="Calibri" w:hAnsi="Calibri"/>
                <w:sz w:val="17"/>
              </w:rPr>
              <w:t>China</w:t>
            </w:r>
          </w:p>
        </w:tc>
        <w:tc>
          <w:tcPr>
            <w:tcW w:type="dxa" w:w="1440"/>
          </w:tcPr>
          <w:p>
            <w:r/>
            <w:r>
              <w:rPr>
                <w:rFonts w:ascii="Calibri" w:hAnsi="Calibri"/>
                <w:sz w:val="17"/>
              </w:rPr>
              <w:t>35,429</w:t>
            </w:r>
          </w:p>
        </w:tc>
        <w:tc>
          <w:tcPr>
            <w:tcW w:type="dxa" w:w="1440"/>
          </w:tcPr>
          <w:p>
            <w:r/>
            <w:r>
              <w:rPr>
                <w:rFonts w:ascii="Calibri" w:hAnsi="Calibri"/>
                <w:sz w:val="17"/>
              </w:rPr>
              <w:t>25,943</w:t>
            </w:r>
          </w:p>
        </w:tc>
        <w:tc>
          <w:tcPr>
            <w:tcW w:type="dxa" w:w="1440"/>
          </w:tcPr>
          <w:p>
            <w:r/>
            <w:r>
              <w:rPr>
                <w:rFonts w:ascii="Calibri" w:hAnsi="Calibri"/>
                <w:sz w:val="17"/>
              </w:rPr>
              <w:t>~137%</w:t>
            </w:r>
          </w:p>
        </w:tc>
        <w:tc>
          <w:tcPr>
            <w:tcW w:type="dxa" w:w="1440"/>
          </w:tcPr>
          <w:p>
            <w:r/>
            <w:r>
              <w:rPr>
                <w:rFonts w:ascii="Calibri" w:hAnsi="Calibri"/>
                <w:sz w:val="17"/>
              </w:rPr>
              <w:t>medium</w:t>
            </w:r>
          </w:p>
        </w:tc>
        <w:tc>
          <w:tcPr>
            <w:tcW w:type="dxa" w:w="1440"/>
          </w:tcPr>
          <w:p>
            <w:r/>
            <w:r>
              <w:rPr>
                <w:rFonts w:ascii="Calibri" w:hAnsi="Calibri"/>
                <w:sz w:val="17"/>
              </w:rPr>
              <w:t>Meets/exceeds. Baker Inst./Rice, 101 named crude pipelines.</w:t>
            </w:r>
          </w:p>
        </w:tc>
      </w:tr>
      <w:tr>
        <w:tc>
          <w:tcPr>
            <w:tcW w:type="dxa" w:w="1440"/>
          </w:tcPr>
          <w:p>
            <w:r/>
            <w:r>
              <w:rPr>
                <w:rFonts w:ascii="Calibri" w:hAnsi="Calibri"/>
                <w:sz w:val="17"/>
              </w:rPr>
              <w:t>India</w:t>
            </w:r>
          </w:p>
        </w:tc>
        <w:tc>
          <w:tcPr>
            <w:tcW w:type="dxa" w:w="1440"/>
          </w:tcPr>
          <w:p>
            <w:r/>
            <w:r>
              <w:rPr>
                <w:rFonts w:ascii="Calibri" w:hAnsi="Calibri"/>
                <w:sz w:val="17"/>
              </w:rPr>
              <w:t>9,815</w:t>
            </w:r>
          </w:p>
        </w:tc>
        <w:tc>
          <w:tcPr>
            <w:tcW w:type="dxa" w:w="1440"/>
          </w:tcPr>
          <w:p>
            <w:r/>
            <w:r>
              <w:rPr>
                <w:rFonts w:ascii="Calibri" w:hAnsi="Calibri"/>
                <w:sz w:val="17"/>
              </w:rPr>
              <w:t>10,941</w:t>
            </w:r>
          </w:p>
        </w:tc>
        <w:tc>
          <w:tcPr>
            <w:tcW w:type="dxa" w:w="1440"/>
          </w:tcPr>
          <w:p>
            <w:r/>
            <w:r>
              <w:rPr>
                <w:rFonts w:ascii="Calibri" w:hAnsi="Calibri"/>
                <w:sz w:val="17"/>
              </w:rPr>
              <w:t>~90%</w:t>
            </w:r>
          </w:p>
        </w:tc>
        <w:tc>
          <w:tcPr>
            <w:tcW w:type="dxa" w:w="1440"/>
          </w:tcPr>
          <w:p>
            <w:r/>
            <w:r>
              <w:rPr>
                <w:rFonts w:ascii="Calibri" w:hAnsi="Calibri"/>
                <w:sz w:val="17"/>
              </w:rPr>
              <w:t>high</w:t>
            </w:r>
          </w:p>
        </w:tc>
        <w:tc>
          <w:tcPr>
            <w:tcW w:type="dxa" w:w="1440"/>
          </w:tcPr>
          <w:p>
            <w:r/>
            <w:r>
              <w:rPr>
                <w:rFonts w:ascii="Calibri" w:hAnsi="Calibri"/>
                <w:sz w:val="17"/>
              </w:rPr>
              <w:t>Near-complete. PPAC Snapshot Mar-2024 crude trunk total.</w:t>
            </w:r>
          </w:p>
        </w:tc>
      </w:tr>
      <w:tr>
        <w:tc>
          <w:tcPr>
            <w:tcW w:type="dxa" w:w="1440"/>
          </w:tcPr>
          <w:p>
            <w:r/>
            <w:r>
              <w:rPr>
                <w:rFonts w:ascii="Calibri" w:hAnsi="Calibri"/>
                <w:sz w:val="17"/>
              </w:rPr>
              <w:t>Libya</w:t>
            </w:r>
          </w:p>
        </w:tc>
        <w:tc>
          <w:tcPr>
            <w:tcW w:type="dxa" w:w="1440"/>
          </w:tcPr>
          <w:p>
            <w:r/>
            <w:r>
              <w:rPr>
                <w:rFonts w:ascii="Calibri" w:hAnsi="Calibri"/>
                <w:sz w:val="17"/>
              </w:rPr>
              <w:t>8,895</w:t>
            </w:r>
          </w:p>
        </w:tc>
        <w:tc>
          <w:tcPr>
            <w:tcW w:type="dxa" w:w="1440"/>
          </w:tcPr>
          <w:p>
            <w:r/>
            <w:r>
              <w:rPr>
                <w:rFonts w:ascii="Calibri" w:hAnsi="Calibri"/>
                <w:sz w:val="17"/>
              </w:rPr>
              <w:t>7,036</w:t>
            </w:r>
          </w:p>
        </w:tc>
        <w:tc>
          <w:tcPr>
            <w:tcW w:type="dxa" w:w="1440"/>
          </w:tcPr>
          <w:p>
            <w:r/>
            <w:r>
              <w:rPr>
                <w:rFonts w:ascii="Calibri" w:hAnsi="Calibri"/>
                <w:sz w:val="17"/>
              </w:rPr>
              <w:t>~126%</w:t>
            </w:r>
          </w:p>
        </w:tc>
        <w:tc>
          <w:tcPr>
            <w:tcW w:type="dxa" w:w="1440"/>
          </w:tcPr>
          <w:p>
            <w:r/>
            <w:r>
              <w:rPr>
                <w:rFonts w:ascii="Calibri" w:hAnsi="Calibri"/>
                <w:sz w:val="17"/>
              </w:rPr>
              <w:t>low</w:t>
            </w:r>
          </w:p>
        </w:tc>
        <w:tc>
          <w:tcPr>
            <w:tcW w:type="dxa" w:w="1440"/>
          </w:tcPr>
          <w:p>
            <w:r/>
            <w:r>
              <w:rPr>
                <w:rFonts w:ascii="Calibri" w:hAnsi="Calibri"/>
                <w:sz w:val="17"/>
              </w:rPr>
              <w:t>Meets/exceeds, but benchmark is 2013 CIA, war-degraded; loose.</w:t>
            </w:r>
          </w:p>
        </w:tc>
      </w:tr>
      <w:tr>
        <w:tc>
          <w:tcPr>
            <w:tcW w:type="dxa" w:w="1440"/>
          </w:tcPr>
          <w:p>
            <w:r/>
            <w:r>
              <w:rPr>
                <w:rFonts w:ascii="Calibri" w:hAnsi="Calibri"/>
                <w:sz w:val="17"/>
              </w:rPr>
              <w:t>Kazakhstan</w:t>
            </w:r>
          </w:p>
        </w:tc>
        <w:tc>
          <w:tcPr>
            <w:tcW w:type="dxa" w:w="1440"/>
          </w:tcPr>
          <w:p>
            <w:r/>
            <w:r>
              <w:rPr>
                <w:rFonts w:ascii="Calibri" w:hAnsi="Calibri"/>
                <w:sz w:val="17"/>
              </w:rPr>
              <w:t>8,732</w:t>
            </w:r>
          </w:p>
        </w:tc>
        <w:tc>
          <w:tcPr>
            <w:tcW w:type="dxa" w:w="1440"/>
          </w:tcPr>
          <w:p>
            <w:r/>
            <w:r>
              <w:rPr>
                <w:rFonts w:ascii="Calibri" w:hAnsi="Calibri"/>
                <w:sz w:val="17"/>
              </w:rPr>
              <w:t>5,196</w:t>
            </w:r>
          </w:p>
        </w:tc>
        <w:tc>
          <w:tcPr>
            <w:tcW w:type="dxa" w:w="1440"/>
          </w:tcPr>
          <w:p>
            <w:r/>
            <w:r>
              <w:rPr>
                <w:rFonts w:ascii="Calibri" w:hAnsi="Calibri"/>
                <w:sz w:val="17"/>
              </w:rPr>
              <w:t>~168%</w:t>
            </w:r>
          </w:p>
        </w:tc>
        <w:tc>
          <w:tcPr>
            <w:tcW w:type="dxa" w:w="1440"/>
          </w:tcPr>
          <w:p>
            <w:r/>
            <w:r>
              <w:rPr>
                <w:rFonts w:ascii="Calibri" w:hAnsi="Calibri"/>
                <w:sz w:val="17"/>
              </w:rPr>
              <w:t>high</w:t>
            </w:r>
          </w:p>
        </w:tc>
        <w:tc>
          <w:tcPr>
            <w:tcW w:type="dxa" w:w="1440"/>
          </w:tcPr>
          <w:p>
            <w:r/>
            <w:r>
              <w:rPr>
                <w:rFonts w:ascii="Calibri" w:hAnsi="Calibri"/>
                <w:sz w:val="17"/>
              </w:rPr>
              <w:t>Meets/exceeds. KazTransOil; benchmark excludes CPC mainline.</w:t>
            </w:r>
          </w:p>
        </w:tc>
      </w:tr>
      <w:tr>
        <w:tc>
          <w:tcPr>
            <w:tcW w:type="dxa" w:w="1440"/>
          </w:tcPr>
          <w:p>
            <w:r/>
            <w:r>
              <w:rPr>
                <w:rFonts w:ascii="Calibri" w:hAnsi="Calibri"/>
                <w:sz w:val="17"/>
              </w:rPr>
              <w:t>Iraq</w:t>
            </w:r>
          </w:p>
        </w:tc>
        <w:tc>
          <w:tcPr>
            <w:tcW w:type="dxa" w:w="1440"/>
          </w:tcPr>
          <w:p>
            <w:r/>
            <w:r>
              <w:rPr>
                <w:rFonts w:ascii="Calibri" w:hAnsi="Calibri"/>
                <w:sz w:val="17"/>
              </w:rPr>
              <w:t>7,082</w:t>
            </w:r>
          </w:p>
        </w:tc>
        <w:tc>
          <w:tcPr>
            <w:tcW w:type="dxa" w:w="1440"/>
          </w:tcPr>
          <w:p>
            <w:r/>
            <w:r>
              <w:rPr>
                <w:rFonts w:ascii="Calibri" w:hAnsi="Calibri"/>
                <w:sz w:val="17"/>
              </w:rPr>
              <w:t>5,432</w:t>
            </w:r>
          </w:p>
        </w:tc>
        <w:tc>
          <w:tcPr>
            <w:tcW w:type="dxa" w:w="1440"/>
          </w:tcPr>
          <w:p>
            <w:r/>
            <w:r>
              <w:rPr>
                <w:rFonts w:ascii="Calibri" w:hAnsi="Calibri"/>
                <w:sz w:val="17"/>
              </w:rPr>
              <w:t>~130%</w:t>
            </w:r>
          </w:p>
        </w:tc>
        <w:tc>
          <w:tcPr>
            <w:tcW w:type="dxa" w:w="1440"/>
          </w:tcPr>
          <w:p>
            <w:r/>
            <w:r>
              <w:rPr>
                <w:rFonts w:ascii="Calibri" w:hAnsi="Calibri"/>
                <w:sz w:val="17"/>
              </w:rPr>
              <w:t>medium</w:t>
            </w:r>
          </w:p>
        </w:tc>
        <w:tc>
          <w:tcPr>
            <w:tcW w:type="dxa" w:w="1440"/>
          </w:tcPr>
          <w:p>
            <w:r/>
            <w:r>
              <w:rPr>
                <w:rFonts w:ascii="Calibri" w:hAnsi="Calibri"/>
                <w:sz w:val="17"/>
              </w:rPr>
              <w:t>Meets/exceeds. CIA 2013; likely understates current.</w:t>
            </w:r>
          </w:p>
        </w:tc>
      </w:tr>
      <w:tr>
        <w:tc>
          <w:tcPr>
            <w:tcW w:type="dxa" w:w="1440"/>
          </w:tcPr>
          <w:p>
            <w:r/>
            <w:r>
              <w:rPr>
                <w:rFonts w:ascii="Calibri" w:hAnsi="Calibri"/>
                <w:sz w:val="17"/>
              </w:rPr>
              <w:t>Saudi Arabia</w:t>
            </w:r>
          </w:p>
        </w:tc>
        <w:tc>
          <w:tcPr>
            <w:tcW w:type="dxa" w:w="1440"/>
          </w:tcPr>
          <w:p>
            <w:r/>
            <w:r>
              <w:rPr>
                <w:rFonts w:ascii="Calibri" w:hAnsi="Calibri"/>
                <w:sz w:val="17"/>
              </w:rPr>
              <w:t>5,944</w:t>
            </w:r>
          </w:p>
        </w:tc>
        <w:tc>
          <w:tcPr>
            <w:tcW w:type="dxa" w:w="1440"/>
          </w:tcPr>
          <w:p>
            <w:r/>
            <w:r>
              <w:rPr>
                <w:rFonts w:ascii="Calibri" w:hAnsi="Calibri"/>
                <w:sz w:val="17"/>
              </w:rPr>
              <w:t>5,117</w:t>
            </w:r>
          </w:p>
        </w:tc>
        <w:tc>
          <w:tcPr>
            <w:tcW w:type="dxa" w:w="1440"/>
          </w:tcPr>
          <w:p>
            <w:r/>
            <w:r>
              <w:rPr>
                <w:rFonts w:ascii="Calibri" w:hAnsi="Calibri"/>
                <w:sz w:val="17"/>
              </w:rPr>
              <w:t>~116%</w:t>
            </w:r>
          </w:p>
        </w:tc>
        <w:tc>
          <w:tcPr>
            <w:tcW w:type="dxa" w:w="1440"/>
          </w:tcPr>
          <w:p>
            <w:r/>
            <w:r>
              <w:rPr>
                <w:rFonts w:ascii="Calibri" w:hAnsi="Calibri"/>
                <w:sz w:val="17"/>
              </w:rPr>
              <w:t>medium</w:t>
            </w:r>
          </w:p>
        </w:tc>
        <w:tc>
          <w:tcPr>
            <w:tcW w:type="dxa" w:w="1440"/>
          </w:tcPr>
          <w:p>
            <w:r/>
            <w:r>
              <w:rPr>
                <w:rFonts w:ascii="Calibri" w:hAnsi="Calibri"/>
                <w:sz w:val="17"/>
              </w:rPr>
              <w:t>Meets/exceeds. CIA 2013.</w:t>
            </w:r>
          </w:p>
        </w:tc>
      </w:tr>
      <w:tr>
        <w:tc>
          <w:tcPr>
            <w:tcW w:type="dxa" w:w="1440"/>
          </w:tcPr>
          <w:p>
            <w:r/>
            <w:r>
              <w:rPr>
                <w:rFonts w:ascii="Calibri" w:hAnsi="Calibri"/>
                <w:sz w:val="17"/>
              </w:rPr>
              <w:t>Colombia</w:t>
            </w:r>
          </w:p>
        </w:tc>
        <w:tc>
          <w:tcPr>
            <w:tcW w:type="dxa" w:w="1440"/>
          </w:tcPr>
          <w:p>
            <w:r/>
            <w:r>
              <w:rPr>
                <w:rFonts w:ascii="Calibri" w:hAnsi="Calibri"/>
                <w:sz w:val="17"/>
              </w:rPr>
              <w:t>5,704</w:t>
            </w:r>
          </w:p>
        </w:tc>
        <w:tc>
          <w:tcPr>
            <w:tcW w:type="dxa" w:w="1440"/>
          </w:tcPr>
          <w:p>
            <w:r/>
            <w:r>
              <w:rPr>
                <w:rFonts w:ascii="Calibri" w:hAnsi="Calibri"/>
                <w:sz w:val="17"/>
              </w:rPr>
              <w:t>5,655</w:t>
            </w:r>
          </w:p>
        </w:tc>
        <w:tc>
          <w:tcPr>
            <w:tcW w:type="dxa" w:w="1440"/>
          </w:tcPr>
          <w:p>
            <w:r/>
            <w:r>
              <w:rPr>
                <w:rFonts w:ascii="Calibri" w:hAnsi="Calibri"/>
                <w:sz w:val="17"/>
              </w:rPr>
              <w:t>~101%</w:t>
            </w:r>
          </w:p>
        </w:tc>
        <w:tc>
          <w:tcPr>
            <w:tcW w:type="dxa" w:w="1440"/>
          </w:tcPr>
          <w:p>
            <w:r/>
            <w:r>
              <w:rPr>
                <w:rFonts w:ascii="Calibri" w:hAnsi="Calibri"/>
                <w:sz w:val="17"/>
              </w:rPr>
              <w:t>medium</w:t>
            </w:r>
          </w:p>
        </w:tc>
        <w:tc>
          <w:tcPr>
            <w:tcW w:type="dxa" w:w="1440"/>
          </w:tcPr>
          <w:p>
            <w:r/>
            <w:r>
              <w:rPr>
                <w:rFonts w:ascii="Calibri" w:hAnsi="Calibri"/>
                <w:sz w:val="17"/>
              </w:rPr>
              <w:t>Meets/exceeds. El Tiempo/Cenit oleoductos (~2015).</w:t>
            </w:r>
          </w:p>
        </w:tc>
      </w:tr>
      <w:tr>
        <w:tc>
          <w:tcPr>
            <w:tcW w:type="dxa" w:w="1440"/>
          </w:tcPr>
          <w:p>
            <w:r/>
            <w:r>
              <w:rPr>
                <w:rFonts w:ascii="Calibri" w:hAnsi="Calibri"/>
                <w:sz w:val="17"/>
              </w:rPr>
              <w:t>Algeria</w:t>
            </w:r>
          </w:p>
        </w:tc>
        <w:tc>
          <w:tcPr>
            <w:tcW w:type="dxa" w:w="1440"/>
          </w:tcPr>
          <w:p>
            <w:r/>
            <w:r>
              <w:rPr>
                <w:rFonts w:ascii="Calibri" w:hAnsi="Calibri"/>
                <w:sz w:val="17"/>
              </w:rPr>
              <w:t>5,407</w:t>
            </w:r>
          </w:p>
        </w:tc>
        <w:tc>
          <w:tcPr>
            <w:tcW w:type="dxa" w:w="1440"/>
          </w:tcPr>
          <w:p>
            <w:r/>
            <w:r>
              <w:rPr>
                <w:rFonts w:ascii="Calibri" w:hAnsi="Calibri"/>
                <w:sz w:val="17"/>
              </w:rPr>
              <w:t>7,036</w:t>
            </w:r>
          </w:p>
        </w:tc>
        <w:tc>
          <w:tcPr>
            <w:tcW w:type="dxa" w:w="1440"/>
          </w:tcPr>
          <w:p>
            <w:r/>
            <w:r>
              <w:rPr>
                <w:rFonts w:ascii="Calibri" w:hAnsi="Calibri"/>
                <w:sz w:val="17"/>
              </w:rPr>
              <w:t>~77%</w:t>
            </w:r>
          </w:p>
        </w:tc>
        <w:tc>
          <w:tcPr>
            <w:tcW w:type="dxa" w:w="1440"/>
          </w:tcPr>
          <w:p>
            <w:r/>
            <w:r>
              <w:rPr>
                <w:rFonts w:ascii="Calibri" w:hAnsi="Calibri"/>
                <w:sz w:val="17"/>
              </w:rPr>
              <w:t>high</w:t>
            </w:r>
          </w:p>
        </w:tc>
        <w:tc>
          <w:tcPr>
            <w:tcW w:type="dxa" w:w="1440"/>
          </w:tcPr>
          <w:p>
            <w:r/>
            <w:r>
              <w:rPr>
                <w:rFonts w:ascii="Calibri" w:hAnsi="Calibri"/>
                <w:sz w:val="17"/>
              </w:rPr>
              <w:t>GAP — vs CIA 2013; ~55% vs Sonatrach ~9,883 km. Audit.</w:t>
            </w:r>
          </w:p>
        </w:tc>
      </w:tr>
      <w:tr>
        <w:tc>
          <w:tcPr>
            <w:tcW w:type="dxa" w:w="1440"/>
          </w:tcPr>
          <w:p>
            <w:r/>
            <w:r>
              <w:rPr>
                <w:rFonts w:ascii="Calibri" w:hAnsi="Calibri"/>
                <w:sz w:val="17"/>
              </w:rPr>
              <w:t>Argentina</w:t>
            </w:r>
          </w:p>
        </w:tc>
        <w:tc>
          <w:tcPr>
            <w:tcW w:type="dxa" w:w="1440"/>
          </w:tcPr>
          <w:p>
            <w:r/>
            <w:r>
              <w:rPr>
                <w:rFonts w:ascii="Calibri" w:hAnsi="Calibri"/>
                <w:sz w:val="17"/>
              </w:rPr>
              <w:t>4,667</w:t>
            </w:r>
          </w:p>
        </w:tc>
        <w:tc>
          <w:tcPr>
            <w:tcW w:type="dxa" w:w="1440"/>
          </w:tcPr>
          <w:p>
            <w:r/>
            <w:r>
              <w:rPr>
                <w:rFonts w:ascii="Calibri" w:hAnsi="Calibri"/>
                <w:sz w:val="17"/>
              </w:rPr>
              <w:t>4,102</w:t>
            </w:r>
          </w:p>
        </w:tc>
        <w:tc>
          <w:tcPr>
            <w:tcW w:type="dxa" w:w="1440"/>
          </w:tcPr>
          <w:p>
            <w:r/>
            <w:r>
              <w:rPr>
                <w:rFonts w:ascii="Calibri" w:hAnsi="Calibri"/>
                <w:sz w:val="17"/>
              </w:rPr>
              <w:t>~114%</w:t>
            </w:r>
          </w:p>
        </w:tc>
        <w:tc>
          <w:tcPr>
            <w:tcW w:type="dxa" w:w="1440"/>
          </w:tcPr>
          <w:p>
            <w:r/>
            <w:r>
              <w:rPr>
                <w:rFonts w:ascii="Calibri" w:hAnsi="Calibri"/>
                <w:sz w:val="17"/>
              </w:rPr>
              <w:t>medium</w:t>
            </w:r>
          </w:p>
        </w:tc>
        <w:tc>
          <w:tcPr>
            <w:tcW w:type="dxa" w:w="1440"/>
          </w:tcPr>
          <w:p>
            <w:r/>
            <w:r>
              <w:rPr>
                <w:rFonts w:ascii="Calibri" w:hAnsi="Calibri"/>
                <w:sz w:val="17"/>
              </w:rPr>
              <w:t>Meets/exceeds. IAPG 2014; current higher post-Vaca Muerta.</w:t>
            </w:r>
          </w:p>
        </w:tc>
      </w:tr>
      <w:tr>
        <w:tc>
          <w:tcPr>
            <w:tcW w:type="dxa" w:w="1440"/>
          </w:tcPr>
          <w:p>
            <w:r/>
            <w:r>
              <w:rPr>
                <w:rFonts w:ascii="Calibri" w:hAnsi="Calibri"/>
                <w:sz w:val="17"/>
              </w:rPr>
              <w:t>Venezuela</w:t>
            </w:r>
          </w:p>
        </w:tc>
        <w:tc>
          <w:tcPr>
            <w:tcW w:type="dxa" w:w="1440"/>
          </w:tcPr>
          <w:p>
            <w:r/>
            <w:r>
              <w:rPr>
                <w:rFonts w:ascii="Calibri" w:hAnsi="Calibri"/>
                <w:sz w:val="17"/>
              </w:rPr>
              <w:t>3,693</w:t>
            </w:r>
          </w:p>
        </w:tc>
        <w:tc>
          <w:tcPr>
            <w:tcW w:type="dxa" w:w="1440"/>
          </w:tcPr>
          <w:p>
            <w:r/>
            <w:r>
              <w:rPr>
                <w:rFonts w:ascii="Calibri" w:hAnsi="Calibri"/>
                <w:sz w:val="17"/>
              </w:rPr>
              <w:t>7,588</w:t>
            </w:r>
          </w:p>
        </w:tc>
        <w:tc>
          <w:tcPr>
            <w:tcW w:type="dxa" w:w="1440"/>
          </w:tcPr>
          <w:p>
            <w:r/>
            <w:r>
              <w:rPr>
                <w:rFonts w:ascii="Calibri" w:hAnsi="Calibri"/>
                <w:sz w:val="17"/>
              </w:rPr>
              <w:t>~49%</w:t>
            </w:r>
          </w:p>
        </w:tc>
        <w:tc>
          <w:tcPr>
            <w:tcW w:type="dxa" w:w="1440"/>
          </w:tcPr>
          <w:p>
            <w:r/>
            <w:r>
              <w:rPr>
                <w:rFonts w:ascii="Calibri" w:hAnsi="Calibri"/>
                <w:sz w:val="17"/>
              </w:rPr>
              <w:t>medium</w:t>
            </w:r>
          </w:p>
        </w:tc>
        <w:tc>
          <w:tcPr>
            <w:tcW w:type="dxa" w:w="1440"/>
          </w:tcPr>
          <w:p>
            <w:r/>
            <w:r>
              <w:rPr>
                <w:rFonts w:ascii="Calibri" w:hAnsi="Calibri"/>
                <w:sz w:val="17"/>
              </w:rPr>
              <w:t>Apparent gap vs 2013 CIA BUILT net; operational ~3,442 km.</w:t>
            </w:r>
          </w:p>
        </w:tc>
      </w:tr>
      <w:tr>
        <w:tc>
          <w:tcPr>
            <w:tcW w:type="dxa" w:w="1440"/>
          </w:tcPr>
          <w:p>
            <w:r/>
            <w:r>
              <w:rPr>
                <w:rFonts w:ascii="Calibri" w:hAnsi="Calibri"/>
                <w:sz w:val="17"/>
              </w:rPr>
              <w:t>Egypt</w:t>
            </w:r>
          </w:p>
        </w:tc>
        <w:tc>
          <w:tcPr>
            <w:tcW w:type="dxa" w:w="1440"/>
          </w:tcPr>
          <w:p>
            <w:r/>
            <w:r>
              <w:rPr>
                <w:rFonts w:ascii="Calibri" w:hAnsi="Calibri"/>
                <w:sz w:val="17"/>
              </w:rPr>
              <w:t>2,482</w:t>
            </w:r>
          </w:p>
        </w:tc>
        <w:tc>
          <w:tcPr>
            <w:tcW w:type="dxa" w:w="1440"/>
          </w:tcPr>
          <w:p>
            <w:r/>
            <w:r>
              <w:rPr>
                <w:rFonts w:ascii="Calibri" w:hAnsi="Calibri"/>
                <w:sz w:val="17"/>
              </w:rPr>
              <w:t>5,225</w:t>
            </w:r>
          </w:p>
        </w:tc>
        <w:tc>
          <w:tcPr>
            <w:tcW w:type="dxa" w:w="1440"/>
          </w:tcPr>
          <w:p>
            <w:r/>
            <w:r>
              <w:rPr>
                <w:rFonts w:ascii="Calibri" w:hAnsi="Calibri"/>
                <w:sz w:val="17"/>
              </w:rPr>
              <w:t>~48%</w:t>
            </w:r>
          </w:p>
        </w:tc>
        <w:tc>
          <w:tcPr>
            <w:tcW w:type="dxa" w:w="1440"/>
          </w:tcPr>
          <w:p>
            <w:r/>
            <w:r>
              <w:rPr>
                <w:rFonts w:ascii="Calibri" w:hAnsi="Calibri"/>
                <w:sz w:val="17"/>
              </w:rPr>
              <w:t>medium</w:t>
            </w:r>
          </w:p>
        </w:tc>
        <w:tc>
          <w:tcPr>
            <w:tcW w:type="dxa" w:w="1440"/>
          </w:tcPr>
          <w:p>
            <w:r/>
            <w:r>
              <w:rPr>
                <w:rFonts w:ascii="Calibri" w:hAnsi="Calibri"/>
                <w:sz w:val="17"/>
              </w:rPr>
              <w:t>Apparent gap vs 2013 CIA; scope-ambiguous, stale. Low-cred.</w:t>
            </w:r>
          </w:p>
        </w:tc>
      </w:tr>
      <w:tr>
        <w:tc>
          <w:tcPr>
            <w:tcW w:type="dxa" w:w="1440"/>
          </w:tcPr>
          <w:p>
            <w:r/>
            <w:r>
              <w:rPr>
                <w:rFonts w:ascii="Calibri" w:hAnsi="Calibri"/>
                <w:sz w:val="17"/>
              </w:rPr>
              <w:t>Azerbaijan</w:t>
            </w:r>
          </w:p>
        </w:tc>
        <w:tc>
          <w:tcPr>
            <w:tcW w:type="dxa" w:w="1440"/>
          </w:tcPr>
          <w:p>
            <w:r/>
            <w:r>
              <w:rPr>
                <w:rFonts w:ascii="Calibri" w:hAnsi="Calibri"/>
                <w:sz w:val="17"/>
              </w:rPr>
              <w:t>1,539</w:t>
            </w:r>
          </w:p>
        </w:tc>
        <w:tc>
          <w:tcPr>
            <w:tcW w:type="dxa" w:w="1440"/>
          </w:tcPr>
          <w:p>
            <w:r/>
            <w:r>
              <w:rPr>
                <w:rFonts w:ascii="Calibri" w:hAnsi="Calibri"/>
                <w:sz w:val="17"/>
              </w:rPr>
              <w:t>1,130</w:t>
            </w:r>
          </w:p>
        </w:tc>
        <w:tc>
          <w:tcPr>
            <w:tcW w:type="dxa" w:w="1440"/>
          </w:tcPr>
          <w:p>
            <w:r/>
            <w:r>
              <w:rPr>
                <w:rFonts w:ascii="Calibri" w:hAnsi="Calibri"/>
                <w:sz w:val="17"/>
              </w:rPr>
              <w:t>~136%</w:t>
            </w:r>
          </w:p>
        </w:tc>
        <w:tc>
          <w:tcPr>
            <w:tcW w:type="dxa" w:w="1440"/>
          </w:tcPr>
          <w:p>
            <w:r/>
            <w:r>
              <w:rPr>
                <w:rFonts w:ascii="Calibri" w:hAnsi="Calibri"/>
                <w:sz w:val="17"/>
              </w:rPr>
              <w:t>medium</w:t>
            </w:r>
          </w:p>
        </w:tc>
        <w:tc>
          <w:tcPr>
            <w:tcW w:type="dxa" w:w="1440"/>
          </w:tcPr>
          <w:p>
            <w:r/>
            <w:r>
              <w:rPr>
                <w:rFonts w:ascii="Calibri" w:hAnsi="Calibri"/>
                <w:sz w:val="17"/>
              </w:rPr>
              <w:t>Meets/exceeds. BTC+Baku-Supsa+Baku-Novoross. AZ sections.</w:t>
            </w:r>
          </w:p>
        </w:tc>
      </w:tr>
      <w:tr>
        <w:tc>
          <w:tcPr>
            <w:tcW w:type="dxa" w:w="1440"/>
          </w:tcPr>
          <w:p>
            <w:r/>
            <w:r>
              <w:rPr>
                <w:rFonts w:ascii="Calibri" w:hAnsi="Calibri"/>
                <w:sz w:val="17"/>
              </w:rPr>
              <w:t>Brazil</w:t>
            </w:r>
          </w:p>
        </w:tc>
        <w:tc>
          <w:tcPr>
            <w:tcW w:type="dxa" w:w="1440"/>
          </w:tcPr>
          <w:p>
            <w:r/>
            <w:r>
              <w:rPr>
                <w:rFonts w:ascii="Calibri" w:hAnsi="Calibri"/>
                <w:sz w:val="17"/>
              </w:rPr>
              <w:t>1,706</w:t>
            </w:r>
          </w:p>
        </w:tc>
        <w:tc>
          <w:tcPr>
            <w:tcW w:type="dxa" w:w="1440"/>
          </w:tcPr>
          <w:p>
            <w:r/>
            <w:r>
              <w:rPr>
                <w:rFonts w:ascii="Calibri" w:hAnsi="Calibri"/>
                <w:sz w:val="17"/>
              </w:rPr>
              <w:t>2,338</w:t>
            </w:r>
          </w:p>
        </w:tc>
        <w:tc>
          <w:tcPr>
            <w:tcW w:type="dxa" w:w="1440"/>
          </w:tcPr>
          <w:p>
            <w:r/>
            <w:r>
              <w:rPr>
                <w:rFonts w:ascii="Calibri" w:hAnsi="Calibri"/>
                <w:sz w:val="17"/>
              </w:rPr>
              <w:t>~73%</w:t>
            </w:r>
          </w:p>
        </w:tc>
        <w:tc>
          <w:tcPr>
            <w:tcW w:type="dxa" w:w="1440"/>
          </w:tcPr>
          <w:p>
            <w:r/>
            <w:r>
              <w:rPr>
                <w:rFonts w:ascii="Calibri" w:hAnsi="Calibri"/>
                <w:sz w:val="17"/>
              </w:rPr>
              <w:t>high</w:t>
            </w:r>
          </w:p>
        </w:tc>
        <w:tc>
          <w:tcPr>
            <w:tcW w:type="dxa" w:w="1440"/>
          </w:tcPr>
          <w:p>
            <w:r/>
            <w:r>
              <w:rPr>
                <w:rFonts w:ascii="Calibri" w:hAnsi="Calibri"/>
                <w:sz w:val="17"/>
              </w:rPr>
              <w:t>GAP — vs corrected ANP open data. Audit target.</w:t>
            </w:r>
          </w:p>
        </w:tc>
      </w:tr>
    </w:tbl>
    <w:p>
      <w:r>
        <w:rPr>
          <w:b/>
          <w:sz w:val="24"/>
        </w:rPr>
        <w:t>Benchmarks too partial or contaminated to score as gaps</w:t>
      </w:r>
    </w:p>
    <w:p>
      <w:pPr>
        <w:pStyle w:val="ListBullet"/>
      </w:pPr>
      <w:r>
        <w:rPr>
          <w:b/>
        </w:rPr>
        <w:t xml:space="preserve">UAE (GOIT 1,995 km). </w:t>
      </w:r>
      <w:r>
        <w:t>benchmark is only the ADNOC Oil Pipelines lease (~750 km) and excludes the ADCOP Habshan-Fujairah export line; GOIT's 1,995 km is broader, not a gap.</w:t>
      </w:r>
    </w:p>
    <w:p>
      <w:pPr>
        <w:pStyle w:val="ListBullet"/>
      </w:pPr>
      <w:r>
        <w:rPr>
          <w:b/>
        </w:rPr>
        <w:t xml:space="preserve">Nigeria (GOIT 6,112 km). </w:t>
      </w:r>
      <w:r>
        <w:t>the 666 km BPE/PPMC "feed grid" is downstream-only; Nigeria's upstream Niger Delta evacuation trunk has no published national total, so 666 km is a floor. GOIT's 6,112 km is plausibly more complete.</w:t>
      </w:r>
    </w:p>
    <w:p>
      <w:pPr>
        <w:pStyle w:val="ListBullet"/>
      </w:pPr>
      <w:r>
        <w:rPr>
          <w:b/>
        </w:rPr>
        <w:t xml:space="preserve">Mexico (GOIT 5,587 km). </w:t>
      </w:r>
      <w:r>
        <w:t>the 10,006 km Pemex "oleoductos" headline is gathering-contaminated and mis-sourced; a defensible upstream-crude approximation is ~4,767 km, below GOIT. No clean transmission benchmark exists.</w:t>
      </w:r>
    </w:p>
    <w:p>
      <w:pPr>
        <w:pStyle w:val="ListBullet"/>
      </w:pPr>
      <w:r>
        <w:rPr>
          <w:b/>
        </w:rPr>
        <w:t xml:space="preserve">Indonesia (GOIT 612 km). </w:t>
      </w:r>
      <w:r>
        <w:t>the only published figure (CIA 7,767 km) is gathering-contaminated; no clean crude transmission-only number exists.</w:t>
      </w:r>
    </w:p>
    <w:p>
      <w:pPr>
        <w:pStyle w:val="ListBullet"/>
      </w:pPr>
      <w:r>
        <w:rPr>
          <w:b/>
        </w:rPr>
        <w:t xml:space="preserve">Kuwait (GOIT 1,279 km). </w:t>
      </w:r>
      <w:r>
        <w:t>the 540 km CIA 2013 figure is implausibly low (named KOC trunk lines nearly exhaust it); GOIT's 1,279 km is more credible.</w:t>
      </w:r>
    </w:p>
    <w:p>
      <w:r>
        <w:rPr>
          <w:b/>
          <w:sz w:val="24"/>
        </w:rPr>
        <w:t>Combined all-liquids ceilings — not crude benchmarks</w:t>
      </w:r>
    </w:p>
    <w:p>
      <w:r>
        <w:t>For three large systems, the only trustworthy regulator figure bundles crude + products (+ NGL) and cannot be split into a crude-only km figure. These are ceilings on all-liquids, never crude shortfall denominators — GOIT being below a crude+products total is expected.</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
              <w:rPr>
                <w:rFonts w:ascii="Calibri" w:hAnsi="Calibri"/>
                <w:b/>
                <w:sz w:val="18"/>
              </w:rPr>
              <w:t>System</w:t>
            </w:r>
          </w:p>
        </w:tc>
        <w:tc>
          <w:tcPr>
            <w:tcW w:type="dxa" w:w="2880"/>
          </w:tcPr>
          <w:p>
            <w:r/>
            <w:r>
              <w:rPr>
                <w:rFonts w:ascii="Calibri" w:hAnsi="Calibri"/>
                <w:b/>
                <w:sz w:val="18"/>
              </w:rPr>
              <w:t>All-liquids km</w:t>
            </w:r>
          </w:p>
        </w:tc>
        <w:tc>
          <w:tcPr>
            <w:tcW w:type="dxa" w:w="2880"/>
          </w:tcPr>
          <w:p>
            <w:r/>
            <w:r>
              <w:rPr>
                <w:rFonts w:ascii="Calibri" w:hAnsi="Calibri"/>
                <w:b/>
                <w:sz w:val="18"/>
              </w:rPr>
              <w:t>Source / note</w:t>
            </w:r>
          </w:p>
        </w:tc>
      </w:tr>
      <w:tr>
        <w:tc>
          <w:tcPr>
            <w:tcW w:type="dxa" w:w="2880"/>
          </w:tcPr>
          <w:p>
            <w:r/>
            <w:r>
              <w:rPr>
                <w:rFonts w:ascii="Calibri" w:hAnsi="Calibri"/>
                <w:sz w:val="17"/>
              </w:rPr>
              <w:t>Canada</w:t>
            </w:r>
          </w:p>
        </w:tc>
        <w:tc>
          <w:tcPr>
            <w:tcW w:type="dxa" w:w="2880"/>
          </w:tcPr>
          <w:p>
            <w:r/>
            <w:r>
              <w:rPr>
                <w:rFonts w:ascii="Calibri" w:hAnsi="Calibri"/>
                <w:sz w:val="17"/>
              </w:rPr>
              <w:t>19,142</w:t>
            </w:r>
          </w:p>
        </w:tc>
        <w:tc>
          <w:tcPr>
            <w:tcW w:type="dxa" w:w="2880"/>
          </w:tcPr>
          <w:p>
            <w:r/>
            <w:r>
              <w:rPr>
                <w:rFonts w:ascii="Calibri" w:hAnsi="Calibri"/>
                <w:sz w:val="17"/>
              </w:rPr>
              <w:t>CER 2021, federal-only (~10% of network), crude+products+NGL. GOIT crude 29,796 already exceeds it (GOIT also captures provincial trunk).</w:t>
            </w:r>
          </w:p>
        </w:tc>
      </w:tr>
      <w:tr>
        <w:tc>
          <w:tcPr>
            <w:tcW w:type="dxa" w:w="2880"/>
          </w:tcPr>
          <w:p>
            <w:r/>
            <w:r>
              <w:rPr>
                <w:rFonts w:ascii="Calibri" w:hAnsi="Calibri"/>
                <w:sz w:val="17"/>
              </w:rPr>
              <w:t>Iran</w:t>
            </w:r>
          </w:p>
        </w:tc>
        <w:tc>
          <w:tcPr>
            <w:tcW w:type="dxa" w:w="2880"/>
          </w:tcPr>
          <w:p>
            <w:r/>
            <w:r>
              <w:rPr>
                <w:rFonts w:ascii="Calibri" w:hAnsi="Calibri"/>
                <w:sz w:val="17"/>
              </w:rPr>
              <w:t>14,000</w:t>
            </w:r>
          </w:p>
        </w:tc>
        <w:tc>
          <w:tcPr>
            <w:tcW w:type="dxa" w:w="2880"/>
          </w:tcPr>
          <w:p>
            <w:r/>
            <w:r>
              <w:rPr>
                <w:rFonts w:ascii="Calibri" w:hAnsi="Calibri"/>
                <w:sz w:val="17"/>
              </w:rPr>
              <w:t>IOPTC combined crude+products; no crude-only split published.</w:t>
            </w:r>
          </w:p>
        </w:tc>
      </w:tr>
      <w:tr>
        <w:tc>
          <w:tcPr>
            <w:tcW w:type="dxa" w:w="2880"/>
          </w:tcPr>
          <w:p>
            <w:r/>
            <w:r>
              <w:rPr>
                <w:rFonts w:ascii="Calibri" w:hAnsi="Calibri"/>
                <w:sz w:val="17"/>
              </w:rPr>
              <w:t>Europe (ex-RU/CIS)</w:t>
            </w:r>
          </w:p>
        </w:tc>
        <w:tc>
          <w:tcPr>
            <w:tcW w:type="dxa" w:w="2880"/>
          </w:tcPr>
          <w:p>
            <w:r/>
            <w:r>
              <w:rPr>
                <w:rFonts w:ascii="Calibri" w:hAnsi="Calibri"/>
                <w:sz w:val="17"/>
              </w:rPr>
              <w:t>~32,327 active</w:t>
            </w:r>
          </w:p>
        </w:tc>
        <w:tc>
          <w:tcPr>
            <w:tcW w:type="dxa" w:w="2880"/>
          </w:tcPr>
          <w:p>
            <w:r/>
            <w:r>
              <w:rPr>
                <w:rFonts w:ascii="Calibri" w:hAnsi="Calibri"/>
                <w:sz w:val="17"/>
              </w:rPr>
              <w:t>Concawe 8/25 (2023), 68 operators; crude+products (throughput split 327 Mm³ crude / 277 Mm³ products, no km split).</w:t>
            </w:r>
          </w:p>
        </w:tc>
      </w:tr>
    </w:tbl>
    <w:p>
      <w:r>
        <w:rPr>
          <w:b/>
          <w:sz w:val="26"/>
        </w:rPr>
        <w:t>Regional coverage (GOIT operating crude km)</w:t>
      </w:r>
    </w:p>
    <w:p>
      <w:r>
        <w:t>GOIT operating crude by region/subregion (June 2026): Eastern Europe ~60,316 km; Latin America &amp; Caribbean ~27,372 km; Northern Africa ~20,931 km; Central Asia ~9,204 km; Australia &amp; NZ ~1,710 km — plus the large North America and East/South Asia/Middle East totals embedded in the country list above. Against transmission-only benchmarks, coverage is strongest in Eastern Europe (Russia, Kazakhstan, Azerbaijan all meet/exceed), Latin America (Colombia, Argentina, Venezuela-operational all met), and Northern Africa except Algeria. The one structural regional shortfall is North America, driven entirely by the US crude gap and the cross-region NGL undercount.</w:t>
      </w:r>
    </w:p>
    <w:p>
      <w:r>
        <w:rPr>
          <w:b/>
          <w:sz w:val="26"/>
        </w:rPr>
        <w:t>NGL coverage</w:t>
      </w:r>
    </w:p>
    <w:p>
      <w:r>
        <w:t>NGL is GOIT's systematic undercount, concentrated in the US. GOIT carries ~54,313 km of operating US NGL pipelines against PHMSA's highly-volatile-liquids (HVL) transmission mileage of roughly ~110,000 km — about 49%. Few countries publish a clean NGL-only transmission figure, so the US HVL comparison is the most reliable NGL benchmark and points to the clearest expansion opportunity in the tracker. Largest GOIT NGL operating totals by country:</w:t>
      </w:r>
    </w:p>
    <w:tbl>
      <w:tblPr>
        <w:tblStyle w:val="TableGrid"/>
        <w:tblW w:type="auto" w:w="0"/>
        <w:jc w:val="left"/>
        <w:tblLook w:firstColumn="1" w:firstRow="1" w:lastColumn="0" w:lastRow="0" w:noHBand="0" w:noVBand="1" w:val="04A0"/>
      </w:tblPr>
      <w:tblGrid>
        <w:gridCol w:w="4320"/>
        <w:gridCol w:w="4320"/>
      </w:tblGrid>
      <w:tr>
        <w:tc>
          <w:tcPr>
            <w:tcW w:type="dxa" w:w="4320"/>
          </w:tcPr>
          <w:p>
            <w:r/>
            <w:r>
              <w:rPr>
                <w:rFonts w:ascii="Calibri" w:hAnsi="Calibri"/>
                <w:b/>
                <w:sz w:val="19"/>
              </w:rPr>
              <w:t>Country</w:t>
            </w:r>
          </w:p>
        </w:tc>
        <w:tc>
          <w:tcPr>
            <w:tcW w:type="dxa" w:w="4320"/>
          </w:tcPr>
          <w:p>
            <w:r/>
            <w:r>
              <w:rPr>
                <w:rFonts w:ascii="Calibri" w:hAnsi="Calibri"/>
                <w:b/>
                <w:sz w:val="19"/>
              </w:rPr>
              <w:t>GOIT NGL operating km</w:t>
            </w:r>
          </w:p>
        </w:tc>
      </w:tr>
      <w:tr>
        <w:tc>
          <w:tcPr>
            <w:tcW w:type="dxa" w:w="4320"/>
          </w:tcPr>
          <w:p>
            <w:r/>
            <w:r>
              <w:rPr>
                <w:rFonts w:ascii="Calibri" w:hAnsi="Calibri"/>
                <w:sz w:val="18"/>
              </w:rPr>
              <w:t>United States</w:t>
            </w:r>
          </w:p>
        </w:tc>
        <w:tc>
          <w:tcPr>
            <w:tcW w:type="dxa" w:w="4320"/>
          </w:tcPr>
          <w:p>
            <w:r/>
            <w:r>
              <w:rPr>
                <w:rFonts w:ascii="Calibri" w:hAnsi="Calibri"/>
                <w:sz w:val="18"/>
              </w:rPr>
              <w:t>54,313</w:t>
            </w:r>
          </w:p>
        </w:tc>
      </w:tr>
      <w:tr>
        <w:tc>
          <w:tcPr>
            <w:tcW w:type="dxa" w:w="4320"/>
          </w:tcPr>
          <w:p>
            <w:r/>
            <w:r>
              <w:rPr>
                <w:rFonts w:ascii="Calibri" w:hAnsi="Calibri"/>
                <w:sz w:val="18"/>
              </w:rPr>
              <w:t>Russia</w:t>
            </w:r>
          </w:p>
        </w:tc>
        <w:tc>
          <w:tcPr>
            <w:tcW w:type="dxa" w:w="4320"/>
          </w:tcPr>
          <w:p>
            <w:r/>
            <w:r>
              <w:rPr>
                <w:rFonts w:ascii="Calibri" w:hAnsi="Calibri"/>
                <w:sz w:val="18"/>
              </w:rPr>
              <w:t>7,396</w:t>
            </w:r>
          </w:p>
        </w:tc>
      </w:tr>
      <w:tr>
        <w:tc>
          <w:tcPr>
            <w:tcW w:type="dxa" w:w="4320"/>
          </w:tcPr>
          <w:p>
            <w:r/>
            <w:r>
              <w:rPr>
                <w:rFonts w:ascii="Calibri" w:hAnsi="Calibri"/>
                <w:sz w:val="18"/>
              </w:rPr>
              <w:t>India</w:t>
            </w:r>
          </w:p>
        </w:tc>
        <w:tc>
          <w:tcPr>
            <w:tcW w:type="dxa" w:w="4320"/>
          </w:tcPr>
          <w:p>
            <w:r/>
            <w:r>
              <w:rPr>
                <w:rFonts w:ascii="Calibri" w:hAnsi="Calibri"/>
                <w:sz w:val="18"/>
              </w:rPr>
              <w:t>6,189</w:t>
            </w:r>
          </w:p>
        </w:tc>
      </w:tr>
      <w:tr>
        <w:tc>
          <w:tcPr>
            <w:tcW w:type="dxa" w:w="4320"/>
          </w:tcPr>
          <w:p>
            <w:r/>
            <w:r>
              <w:rPr>
                <w:rFonts w:ascii="Calibri" w:hAnsi="Calibri"/>
                <w:sz w:val="18"/>
              </w:rPr>
              <w:t>Canada</w:t>
            </w:r>
          </w:p>
        </w:tc>
        <w:tc>
          <w:tcPr>
            <w:tcW w:type="dxa" w:w="4320"/>
          </w:tcPr>
          <w:p>
            <w:r/>
            <w:r>
              <w:rPr>
                <w:rFonts w:ascii="Calibri" w:hAnsi="Calibri"/>
                <w:sz w:val="18"/>
              </w:rPr>
              <w:t>4,911</w:t>
            </w:r>
          </w:p>
        </w:tc>
      </w:tr>
      <w:tr>
        <w:tc>
          <w:tcPr>
            <w:tcW w:type="dxa" w:w="4320"/>
          </w:tcPr>
          <w:p>
            <w:r/>
            <w:r>
              <w:rPr>
                <w:rFonts w:ascii="Calibri" w:hAnsi="Calibri"/>
                <w:sz w:val="18"/>
              </w:rPr>
              <w:t>Algeria</w:t>
            </w:r>
          </w:p>
        </w:tc>
        <w:tc>
          <w:tcPr>
            <w:tcW w:type="dxa" w:w="4320"/>
          </w:tcPr>
          <w:p>
            <w:r/>
            <w:r>
              <w:rPr>
                <w:rFonts w:ascii="Calibri" w:hAnsi="Calibri"/>
                <w:sz w:val="18"/>
              </w:rPr>
              <w:t>4,471</w:t>
            </w:r>
          </w:p>
        </w:tc>
      </w:tr>
      <w:tr>
        <w:tc>
          <w:tcPr>
            <w:tcW w:type="dxa" w:w="4320"/>
          </w:tcPr>
          <w:p>
            <w:r/>
            <w:r>
              <w:rPr>
                <w:rFonts w:ascii="Calibri" w:hAnsi="Calibri"/>
                <w:sz w:val="18"/>
              </w:rPr>
              <w:t>Brazil</w:t>
            </w:r>
          </w:p>
        </w:tc>
        <w:tc>
          <w:tcPr>
            <w:tcW w:type="dxa" w:w="4320"/>
          </w:tcPr>
          <w:p>
            <w:r/>
            <w:r>
              <w:rPr>
                <w:rFonts w:ascii="Calibri" w:hAnsi="Calibri"/>
                <w:sz w:val="18"/>
              </w:rPr>
              <w:t>2,208</w:t>
            </w:r>
          </w:p>
        </w:tc>
      </w:tr>
    </w:tbl>
    <w:p>
      <w:r>
        <w:rPr>
          <w:b/>
          <w:sz w:val="26"/>
        </w:rPr>
        <w:t>Priority audit targets</w:t>
      </w:r>
    </w:p>
    <w:p>
      <w:pPr>
        <w:pStyle w:val="ListBullet"/>
      </w:pPr>
      <w:r>
        <w:rPr>
          <w:b/>
        </w:rPr>
        <w:t xml:space="preserve">1. United States crude. </w:t>
      </w:r>
      <w:r>
        <w:t>the single largest, highest-confidence crude gap (~47,000 km vs PHMSA). Reconcile GOIT's US crude transmission inventory against PHMSA's hazardous-liquid mileage.</w:t>
      </w:r>
    </w:p>
    <w:p>
      <w:pPr>
        <w:pStyle w:val="ListBullet"/>
      </w:pPr>
      <w:r>
        <w:rPr>
          <w:b/>
        </w:rPr>
        <w:t xml:space="preserve">2. US / global NGL. </w:t>
      </w:r>
      <w:r>
        <w:t>the systematic undercount; ~49% vs PHMSA HVL. Biggest single opportunity to expand the tracker.</w:t>
      </w:r>
    </w:p>
    <w:p>
      <w:pPr>
        <w:pStyle w:val="ListBullet"/>
      </w:pPr>
      <w:r>
        <w:rPr>
          <w:b/>
        </w:rPr>
        <w:t xml:space="preserve">3. Algeria crude. </w:t>
      </w:r>
      <w:r>
        <w:t>~77% vs CIA 2013 and ~55% vs Sonatrach's own ~9,883 km. Verify against Sonatrach TRC line list.</w:t>
      </w:r>
    </w:p>
    <w:p>
      <w:pPr>
        <w:pStyle w:val="ListBullet"/>
      </w:pPr>
      <w:r>
        <w:rPr>
          <w:b/>
        </w:rPr>
        <w:t xml:space="preserve">4. Brazil crude. </w:t>
      </w:r>
      <w:r>
        <w:t>~73% vs corrected ANP open data (2,338 km). Add the proprietary "Transferência" trunk lines if missing.</w:t>
      </w:r>
    </w:p>
    <w:p>
      <w:pPr>
        <w:pStyle w:val="ListBullet"/>
      </w:pPr>
      <w:r>
        <w:rPr>
          <w:b/>
        </w:rPr>
        <w:t xml:space="preserve">5. India crude. </w:t>
      </w:r>
      <w:r>
        <w:t>~90% — nearly complete; close the last ~1,100 km vs PPAC's 10,941 km crude trunk total.</w:t>
      </w:r>
    </w:p>
    <w:p>
      <w:r>
        <w:rPr>
          <w:b/>
          <w:sz w:val="26"/>
        </w:rPr>
        <w:t>Caveats and definitions</w:t>
      </w:r>
    </w:p>
    <w:p>
      <w:pPr>
        <w:pStyle w:val="ListBullet"/>
      </w:pPr>
      <w:r>
        <w:rPr>
          <w:b/>
        </w:rPr>
        <w:t xml:space="preserve">Transmission-only. </w:t>
      </w:r>
      <w:r>
        <w:t>GOIT tracks transmission/trunk lines, not gathering or local distribution. Gathering-inclusive external totals (e.g., Mexico 10,006 km, Indonesia 7,767 km) are not valid comparators.</w:t>
      </w:r>
    </w:p>
    <w:p>
      <w:pPr>
        <w:pStyle w:val="ListBullet"/>
      </w:pPr>
      <w:r>
        <w:rPr>
          <w:b/>
        </w:rPr>
        <w:t xml:space="preserve">Vintage. </w:t>
      </w:r>
      <w:r>
        <w:t>Many strong single-country benchmarks (Iraq, Saudi Arabia, Egypt, Libya, Venezuela, Kuwait) are 2013 CIA World Factbook vintage and likely understate today's networks — so GOIT "exceeding" them can be partly an artifact of stale denominators.</w:t>
      </w:r>
    </w:p>
    <w:p>
      <w:pPr>
        <w:pStyle w:val="ListBullet"/>
      </w:pPr>
      <w:r>
        <w:rPr>
          <w:b/>
        </w:rPr>
        <w:t xml:space="preserve">Operating vs built. </w:t>
      </w:r>
      <w:r>
        <w:t>GOIT figures here are OPERATING km. Against "built-network" benchmarks (e.g., Venezuela), GOIT's operating-only total can legitimately sit below the historical built length.</w:t>
      </w:r>
    </w:p>
    <w:p>
      <w:pPr>
        <w:pStyle w:val="ListBullet"/>
      </w:pPr>
      <w:r>
        <w:rPr>
          <w:b/>
        </w:rPr>
        <w:t xml:space="preserve">Combined all-liquids. </w:t>
      </w:r>
      <w:r>
        <w:t>Canada, Iran, and Europe figures are crude+products combined and must not be read as crude shortfalls.</w:t>
      </w:r>
    </w:p>
    <w:p>
      <w:r>
        <w:rPr>
          <w:b/>
          <w:sz w:val="26"/>
        </w:rPr>
        <w:t>References</w:t>
      </w:r>
    </w:p>
    <w:p>
      <w:pPr>
        <w:pStyle w:val="ListBullet"/>
      </w:pPr>
      <w:r>
        <w:rPr>
          <w:sz w:val="18"/>
        </w:rPr>
        <w:t>PHMSA / BTS — Hazardous Liquid Pipeline Mileage (crude transmission ~133,967 km; HVL mileage for NGL). U.S. Pipeline and Hazardous Materials Safety Administration.</w:t>
      </w:r>
    </w:p>
    <w:p>
      <w:pPr>
        <w:pStyle w:val="ListBullet"/>
      </w:pPr>
      <w:r>
        <w:rPr>
          <w:sz w:val="18"/>
        </w:rPr>
        <w:t>Transneft — crude trunk system ~50,800 km. https://en.wikipedia.org/wiki/Transneft</w:t>
      </w:r>
    </w:p>
    <w:p>
      <w:pPr>
        <w:pStyle w:val="ListBullet"/>
      </w:pPr>
      <w:r>
        <w:rPr>
          <w:sz w:val="18"/>
        </w:rPr>
        <w:t>Baker Institute (Rice University) — China Energy &amp; Infrastructure Map; 101 crude pipelines / 25,943 km (products 28,686 km). Corroborated by jpt.spe.org.</w:t>
      </w:r>
    </w:p>
    <w:p>
      <w:pPr>
        <w:pStyle w:val="ListBullet"/>
      </w:pPr>
      <w:r>
        <w:rPr>
          <w:sz w:val="18"/>
        </w:rPr>
        <w:t>PPAC (MoPNG, India) — "Snapshot of India's Oil &amp; Gas Data," March 2024, §9: crude 10,941 km; products 23,357 km (as on 01.04.2024).</w:t>
      </w:r>
    </w:p>
    <w:p>
      <w:pPr>
        <w:pStyle w:val="ListBullet"/>
      </w:pPr>
      <w:r>
        <w:rPr>
          <w:sz w:val="18"/>
        </w:rPr>
        <w:t>Canada Energy Regulator (CER) — ~19,142 km of operating liquids pipelines (federally regulated), 2021.</w:t>
      </w:r>
    </w:p>
    <w:p>
      <w:pPr>
        <w:pStyle w:val="ListBullet"/>
      </w:pPr>
      <w:r>
        <w:rPr>
          <w:sz w:val="18"/>
        </w:rPr>
        <w:t>ANP (Brazil) — open-data Anuário Estatístico 2024, tabela 2-50: crude 196 km Transporte + 2,142 km Transferência = 2,338 km. https://www.gov.br/anp/pt-br/centrais-de-conteudo/dados-abertos/arquivos/anuario-estatistico-2024/csv/anuario-2024-dados_abertos-tabela2-50.csv</w:t>
      </w:r>
    </w:p>
    <w:p>
      <w:pPr>
        <w:pStyle w:val="ListBullet"/>
      </w:pPr>
      <w:r>
        <w:rPr>
          <w:sz w:val="18"/>
        </w:rPr>
        <w:t>KazTransOil JSC — main oil pipelines 5,196 km. https://kaztransoil.kz/en/about/</w:t>
      </w:r>
    </w:p>
    <w:p>
      <w:pPr>
        <w:pStyle w:val="ListBullet"/>
      </w:pPr>
      <w:r>
        <w:rPr>
          <w:sz w:val="18"/>
        </w:rPr>
        <w:t>Concawe — Report no. 8/25 (22 July 2025), 2023 data: ~32,327 km active / ~35,000 km total, 68 operators.</w:t>
      </w:r>
    </w:p>
    <w:p>
      <w:pPr>
        <w:pStyle w:val="ListBullet"/>
      </w:pPr>
      <w:r>
        <w:rPr>
          <w:sz w:val="18"/>
        </w:rPr>
        <w:t>Sonatrach — pipeline transport (Algeria); ~9,883 km oil pipelines. https://sonatrach.com/en/pipeline-transport/</w:t>
      </w:r>
    </w:p>
    <w:p>
      <w:pPr>
        <w:pStyle w:val="ListBullet"/>
      </w:pPr>
      <w:r>
        <w:rPr>
          <w:sz w:val="18"/>
        </w:rPr>
        <w:t>Oil &amp; Gas Journal — ADNOC Oil Pipelines, ~750 km crude+condensate (2019).</w:t>
      </w:r>
    </w:p>
    <w:p>
      <w:pPr>
        <w:pStyle w:val="ListBullet"/>
      </w:pPr>
      <w:r>
        <w:rPr>
          <w:sz w:val="18"/>
        </w:rPr>
        <w:t>Ministry of Energy of Azerbaijan — BTC (443 km AZ), Baku-Supsa (456 km AZ), Baku-Novorossiysk (231 km AZ).</w:t>
      </w:r>
    </w:p>
    <w:p>
      <w:pPr>
        <w:pStyle w:val="ListBullet"/>
      </w:pPr>
      <w:r>
        <w:rPr>
          <w:sz w:val="18"/>
        </w:rPr>
        <w:t>IOPTC / NIORDC (Iran) — ~14,000 km combined crude + products. https://www.tehrantimes.com/news/515823/</w:t>
      </w:r>
    </w:p>
    <w:p>
      <w:pPr>
        <w:pStyle w:val="ListBullet"/>
      </w:pPr>
      <w:r>
        <w:rPr>
          <w:sz w:val="18"/>
        </w:rPr>
        <w:t>UNLP / IAPG (Argentina) — "Logística de Hidrocarburos en Argentina," oleoductos 4,102 km (2014 data).</w:t>
      </w:r>
    </w:p>
    <w:p>
      <w:pPr>
        <w:pStyle w:val="ListBullet"/>
      </w:pPr>
      <w:r>
        <w:rPr>
          <w:sz w:val="18"/>
        </w:rPr>
        <w:t>El Tiempo / Cenit (Colombia) — oleoductos 5,655 km (~2015). https://www.eltiempo.com/archivo/documento/CMS-15114941</w:t>
      </w:r>
    </w:p>
    <w:p>
      <w:pPr>
        <w:pStyle w:val="ListBullet"/>
      </w:pPr>
      <w:r>
        <w:rPr>
          <w:sz w:val="18"/>
        </w:rPr>
        <w:t>CIA World Factbook (2013 pipelines field, via IndexMundi/Theodora mirrors) — Iraq 5,432 km, Saudi Arabia 5,117 km, Egypt 5,225 km, Libya 7,036 km, Venezuela 7,588 km, Kuwait 540 km oil.</w:t>
      </w:r>
    </w:p>
    <w:p>
      <w:pPr>
        <w:pStyle w:val="ListBullet"/>
      </w:pPr>
      <w:r>
        <w:rPr>
          <w:sz w:val="18"/>
        </w:rPr>
        <w:t>Pemex (Mexico) — annual report, upstream crude ~4,767 km; 10,006 km headline rejected as gathering-contaminated. https://www.pemex.com/informes/anual_report/lines_business/index.html</w:t>
      </w:r>
    </w:p>
    <w:p>
      <w:pPr>
        <w:pStyle w:val="ListBullet"/>
      </w:pPr>
      <w:r>
        <w:rPr>
          <w:sz w:val="18"/>
        </w:rPr>
        <w:t>GEM GOIT — Global Oil Infrastructure Tracker, June 2026 release summary sheets (operating km by country/region).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