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sz w:val="30"/>
        </w:rPr>
        <w:t>Hormuz-Alternative Pipelines: Media Discussion, Route Analysis, and GOIT Mapping Assessment</w:t>
      </w:r>
    </w:p>
    <w:p>
      <w:r>
        <w:rPr>
          <w:rFonts w:ascii="Calibri" w:hAnsi="Calibri"/>
          <w:sz w:val="20"/>
        </w:rPr>
        <w:t>Background brief for the June 2026 GOIT release announcement. Combines (1) media/analysis research with citations, (2) deeper route analysis, and (3) an assessment of how well these routes are represented in the GOIT database for mapping. The numbers (#) in the Part 1 tables correspond to the numbered routes on the accompanying map (GOIT-Hormuz-alternative-routes-preview.png). Prepared 18 June 2026.</w:t>
      </w:r>
    </w:p>
    <w:p>
      <w:r>
        <w:rPr>
          <w:rFonts w:ascii="Calibri" w:hAnsi="Calibri"/>
          <w:b/>
          <w:sz w:val="26"/>
        </w:rPr>
        <w:t>Executive summary</w:t>
      </w:r>
    </w:p>
    <w:p>
      <w:r>
        <w:rPr>
          <w:rFonts w:ascii="Calibri" w:hAnsi="Calibri"/>
          <w:sz w:val="20"/>
        </w:rPr>
        <w:t>Three pipelines currently operate as Strait of Hormuz bypasses and are explicitly discussed as such in 2024–2026 coverage: Saudi Arabia’s East–West (Petroline) line to the Red Sea, the UAE’s Habshan–Fujairah (ADCOP) line to the Gulf of Oman, and Iran’s underused Goreh–Jask line. The Iraq–Turkey (Kirkuk–Ceyhan) line, idle since 2023, reopened in March 2026 and now adds a fourth. Mothballed Iraqi export lines—above all IPSA, plus Kirkuk–Baniyas and Kirkuk–Tripoli—are discussed as routes that could come back online, but reactivation is years away and, for IPSA, considered unlikely.</w:t>
      </w:r>
    </w:p>
    <w:p>
      <w:r>
        <w:rPr>
          <w:rFonts w:ascii="Calibri" w:hAnsi="Calibri"/>
          <w:sz w:val="20"/>
        </w:rPr>
        <w:t>The crucial quantitative caveat: bypass pipelines cannot replace Hormuz. About 20.9 mb/d transited the strait in 1H 2025 (EIA); realistically available spare bypass capacity in a disruption is only ~2.6 mb/d (Saudi + UAE combined, EIA). Total nameplate of the operating bypasses is ~9 mb/d. Use the 2.6 mb/d spare figure rather than larger combined-capacity numbers, two of which (4.7 and 3.5 mb/d) were specifically refuted in our source verification.</w:t>
      </w:r>
    </w:p>
    <w:p>
      <w:r>
        <w:rPr>
          <w:rFonts w:ascii="Calibri" w:hAnsi="Calibri"/>
          <w:b/>
          <w:sz w:val="26"/>
        </w:rPr>
        <w:t>Part 1 — Routes explicitly discussed as Hormuz alternatives</w:t>
      </w:r>
    </w:p>
    <w:p>
      <w:r>
        <w:rPr>
          <w:rFonts w:ascii="Calibri" w:hAnsi="Calibri"/>
          <w:sz w:val="20"/>
        </w:rPr>
        <w:t>Operating bypasses: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Calibri" w:hAnsi="Calibri"/>
                <w:b/>
                <w:sz w:val="18"/>
              </w:rPr>
              <w:t>#</w:t>
            </w:r>
          </w:p>
        </w:tc>
        <w:tc>
          <w:tcPr>
            <w:tcW w:type="dxa" w:w="2160"/>
          </w:tcPr>
          <w:p>
            <w:r>
              <w:rPr>
                <w:rFonts w:ascii="Calibri" w:hAnsi="Calibri"/>
                <w:b/>
                <w:sz w:val="18"/>
              </w:rPr>
              <w:t>Pipeline</w:t>
            </w:r>
          </w:p>
        </w:tc>
        <w:tc>
          <w:tcPr>
            <w:tcW w:type="dxa" w:w="2160"/>
          </w:tcPr>
          <w:p>
            <w:r>
              <w:rPr>
                <w:rFonts w:ascii="Calibri" w:hAnsi="Calibri"/>
                <w:b/>
                <w:sz w:val="18"/>
              </w:rPr>
              <w:t>Claim in sources</w:t>
            </w:r>
          </w:p>
        </w:tc>
        <w:tc>
          <w:tcPr>
            <w:tcW w:type="dxa" w:w="2160"/>
          </w:tcPr>
          <w:p>
            <w:r>
              <w:rPr>
                <w:rFonts w:ascii="Calibri" w:hAnsi="Calibri"/>
                <w:b/>
                <w:sz w:val="18"/>
              </w:rPr>
              <w:t>Status</w:t>
            </w:r>
          </w:p>
        </w:tc>
      </w:tr>
      <w:tr>
        <w:tc>
          <w:tcPr>
            <w:tcW w:type="dxa" w:w="2160"/>
          </w:tcPr>
          <w:p>
            <w:r>
              <w:rPr>
                <w:rFonts w:ascii="Calibri" w:hAnsi="Calibri"/>
                <w:sz w:val="18"/>
              </w:rPr>
              <w:t>1</w:t>
            </w:r>
          </w:p>
        </w:tc>
        <w:tc>
          <w:tcPr>
            <w:tcW w:type="dxa" w:w="2160"/>
          </w:tcPr>
          <w:p>
            <w:r>
              <w:rPr>
                <w:rFonts w:ascii="Calibri" w:hAnsi="Calibri"/>
                <w:sz w:val="18"/>
              </w:rPr>
              <w:t>East–West / Petroline (Saudi)</w:t>
            </w:r>
          </w:p>
        </w:tc>
        <w:tc>
          <w:tcPr>
            <w:tcW w:type="dxa" w:w="2160"/>
          </w:tcPr>
          <w:p>
            <w:r>
              <w:rPr>
                <w:rFonts w:ascii="Calibri" w:hAnsi="Calibri"/>
                <w:sz w:val="18"/>
              </w:rPr>
              <w:t>Abqaiq→Yanbu, ~1,200 km; 5 mb/d nameplate, expanded to ~7 mb/d (2019, NGL-line conversion); ~5 mb/d offered for export Mar 2026</w:t>
            </w:r>
          </w:p>
        </w:tc>
        <w:tc>
          <w:tcPr>
            <w:tcW w:type="dxa" w:w="2160"/>
          </w:tcPr>
          <w:p>
            <w:r>
              <w:rPr>
                <w:rFonts w:ascii="Calibri" w:hAnsi="Calibri"/>
                <w:sz w:val="18"/>
              </w:rPr>
              <w:t>Operating</w:t>
            </w:r>
          </w:p>
        </w:tc>
      </w:tr>
      <w:tr>
        <w:tc>
          <w:tcPr>
            <w:tcW w:type="dxa" w:w="2160"/>
          </w:tcPr>
          <w:p>
            <w:r>
              <w:rPr>
                <w:rFonts w:ascii="Calibri" w:hAnsi="Calibri"/>
                <w:sz w:val="18"/>
              </w:rPr>
              <w:t>2</w:t>
            </w:r>
          </w:p>
        </w:tc>
        <w:tc>
          <w:tcPr>
            <w:tcW w:type="dxa" w:w="2160"/>
          </w:tcPr>
          <w:p>
            <w:r>
              <w:rPr>
                <w:rFonts w:ascii="Calibri" w:hAnsi="Calibri"/>
                <w:sz w:val="18"/>
              </w:rPr>
              <w:t>Habshan–Fujairah / ADCOP (UAE)</w:t>
            </w:r>
          </w:p>
        </w:tc>
        <w:tc>
          <w:tcPr>
            <w:tcW w:type="dxa" w:w="2160"/>
          </w:tcPr>
          <w:p>
            <w:r>
              <w:rPr>
                <w:rFonts w:ascii="Calibri" w:hAnsi="Calibri"/>
                <w:sz w:val="18"/>
              </w:rPr>
              <w:t>~248 mi to Fujairah (Gulf of Oman); ~1.5 mb/d operating, ~1.8 mb/d max; ~71% utilization (Kpler). New West-East 1 (~1.5 mb/d) due 2027, ~50% complete May 2026</w:t>
            </w:r>
          </w:p>
        </w:tc>
        <w:tc>
          <w:tcPr>
            <w:tcW w:type="dxa" w:w="2160"/>
          </w:tcPr>
          <w:p>
            <w:r>
              <w:rPr>
                <w:rFonts w:ascii="Calibri" w:hAnsi="Calibri"/>
                <w:sz w:val="18"/>
              </w:rPr>
              <w:t>Operating</w:t>
            </w:r>
          </w:p>
        </w:tc>
      </w:tr>
      <w:tr>
        <w:tc>
          <w:tcPr>
            <w:tcW w:type="dxa" w:w="2160"/>
          </w:tcPr>
          <w:p>
            <w:r>
              <w:rPr>
                <w:rFonts w:ascii="Calibri" w:hAnsi="Calibri"/>
                <w:sz w:val="18"/>
              </w:rPr>
              <w:t>3</w:t>
            </w:r>
          </w:p>
        </w:tc>
        <w:tc>
          <w:tcPr>
            <w:tcW w:type="dxa" w:w="2160"/>
          </w:tcPr>
          <w:p>
            <w:r>
              <w:rPr>
                <w:rFonts w:ascii="Calibri" w:hAnsi="Calibri"/>
                <w:sz w:val="18"/>
              </w:rPr>
              <w:t>Goreh–Jask (Iran)</w:t>
            </w:r>
          </w:p>
        </w:tc>
        <w:tc>
          <w:tcPr>
            <w:tcW w:type="dxa" w:w="2160"/>
          </w:tcPr>
          <w:p>
            <w:r>
              <w:rPr>
                <w:rFonts w:ascii="Calibri" w:hAnsi="Calibri"/>
                <w:sz w:val="18"/>
              </w:rPr>
              <w:t>Jask terminal (2021) on Gulf of Oman; “underused” — a single 2021 cargo and a few late-2024 loadings; ~0.3 mb/d effective</w:t>
            </w:r>
          </w:p>
        </w:tc>
        <w:tc>
          <w:tcPr>
            <w:tcW w:type="dxa" w:w="2160"/>
          </w:tcPr>
          <w:p>
            <w:r>
              <w:rPr>
                <w:rFonts w:ascii="Calibri" w:hAnsi="Calibri"/>
                <w:sz w:val="18"/>
              </w:rPr>
              <w:t>Operating, barely used</w:t>
            </w:r>
          </w:p>
        </w:tc>
      </w:tr>
    </w:tbl>
    <w:p>
      <w:r>
        <w:rPr>
          <w:rFonts w:ascii="Calibri" w:hAnsi="Calibri"/>
          <w:sz w:val="20"/>
        </w:rPr>
        <w:t>Idle / mothballed / historic lines (numbering continues from the operating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Calibri" w:hAnsi="Calibri"/>
                <w:b/>
                <w:sz w:val="18"/>
              </w:rPr>
              <w:t>#</w:t>
            </w:r>
          </w:p>
        </w:tc>
        <w:tc>
          <w:tcPr>
            <w:tcW w:type="dxa" w:w="2160"/>
          </w:tcPr>
          <w:p>
            <w:r>
              <w:rPr>
                <w:rFonts w:ascii="Calibri" w:hAnsi="Calibri"/>
                <w:b/>
                <w:sz w:val="18"/>
              </w:rPr>
              <w:t>Pipeline</w:t>
            </w:r>
          </w:p>
        </w:tc>
        <w:tc>
          <w:tcPr>
            <w:tcW w:type="dxa" w:w="2160"/>
          </w:tcPr>
          <w:p>
            <w:r>
              <w:rPr>
                <w:rFonts w:ascii="Calibri" w:hAnsi="Calibri"/>
                <w:b/>
                <w:sz w:val="18"/>
              </w:rPr>
              <w:t>Claim in sources</w:t>
            </w:r>
          </w:p>
        </w:tc>
        <w:tc>
          <w:tcPr>
            <w:tcW w:type="dxa" w:w="2160"/>
          </w:tcPr>
          <w:p>
            <w:r>
              <w:rPr>
                <w:rFonts w:ascii="Calibri" w:hAnsi="Calibri"/>
                <w:b/>
                <w:sz w:val="18"/>
              </w:rPr>
              <w:t>Status</w:t>
            </w:r>
          </w:p>
        </w:tc>
      </w:tr>
      <w:tr>
        <w:tc>
          <w:tcPr>
            <w:tcW w:type="dxa" w:w="2160"/>
          </w:tcPr>
          <w:p>
            <w:r>
              <w:rPr>
                <w:rFonts w:ascii="Calibri" w:hAnsi="Calibri"/>
                <w:sz w:val="18"/>
              </w:rPr>
              <w:t>4</w:t>
            </w:r>
          </w:p>
        </w:tc>
        <w:tc>
          <w:tcPr>
            <w:tcW w:type="dxa" w:w="2160"/>
          </w:tcPr>
          <w:p>
            <w:r>
              <w:rPr>
                <w:rFonts w:ascii="Calibri" w:hAnsi="Calibri"/>
                <w:sz w:val="18"/>
              </w:rPr>
              <w:t>IPSA (Iraq→Saudi Red Sea)</w:t>
            </w:r>
          </w:p>
        </w:tc>
        <w:tc>
          <w:tcPr>
            <w:tcW w:type="dxa" w:w="2160"/>
          </w:tcPr>
          <w:p>
            <w:r>
              <w:rPr>
                <w:rFonts w:ascii="Calibri" w:hAnsi="Calibri"/>
                <w:sz w:val="18"/>
              </w:rPr>
              <w:t>1,568 km, ~1.65 mb/d design; idle since 1990, Saudi-confiscated 2001; revival “unlikely” (disputed ownership, 30-yr disuse)</w:t>
            </w:r>
          </w:p>
        </w:tc>
        <w:tc>
          <w:tcPr>
            <w:tcW w:type="dxa" w:w="2160"/>
          </w:tcPr>
          <w:p>
            <w:r>
              <w:rPr>
                <w:rFonts w:ascii="Calibri" w:hAnsi="Calibri"/>
                <w:sz w:val="18"/>
              </w:rPr>
              <w:t>Mothballed</w:t>
            </w:r>
          </w:p>
        </w:tc>
      </w:tr>
      <w:tr>
        <w:tc>
          <w:tcPr>
            <w:tcW w:type="dxa" w:w="2160"/>
          </w:tcPr>
          <w:p>
            <w:r>
              <w:rPr>
                <w:rFonts w:ascii="Calibri" w:hAnsi="Calibri"/>
                <w:sz w:val="18"/>
              </w:rPr>
              <w:t>5</w:t>
            </w:r>
          </w:p>
        </w:tc>
        <w:tc>
          <w:tcPr>
            <w:tcW w:type="dxa" w:w="2160"/>
          </w:tcPr>
          <w:p>
            <w:r>
              <w:rPr>
                <w:rFonts w:ascii="Calibri" w:hAnsi="Calibri"/>
                <w:sz w:val="18"/>
              </w:rPr>
              <w:t>Kirkuk–Baniyas (Iraq→Syria)</w:t>
            </w:r>
          </w:p>
        </w:tc>
        <w:tc>
          <w:tcPr>
            <w:tcW w:type="dxa" w:w="2160"/>
          </w:tcPr>
          <w:p>
            <w:r>
              <w:rPr>
                <w:rFonts w:ascii="Calibri" w:hAnsi="Calibri"/>
                <w:sz w:val="18"/>
              </w:rPr>
              <w:t>Active Iraq–Syria revival talks in 2025 (post-Assad); assessment commissioned. A hybrid rehabilitation line is also proposed along this corridor</w:t>
            </w:r>
          </w:p>
        </w:tc>
        <w:tc>
          <w:tcPr>
            <w:tcW w:type="dxa" w:w="2160"/>
          </w:tcPr>
          <w:p>
            <w:r>
              <w:rPr>
                <w:rFonts w:ascii="Calibri" w:hAnsi="Calibri"/>
                <w:sz w:val="18"/>
              </w:rPr>
              <w:t>Mothballed</w:t>
            </w:r>
          </w:p>
        </w:tc>
      </w:tr>
      <w:tr>
        <w:tc>
          <w:tcPr>
            <w:tcW w:type="dxa" w:w="2160"/>
          </w:tcPr>
          <w:p>
            <w:r>
              <w:rPr>
                <w:rFonts w:ascii="Calibri" w:hAnsi="Calibri"/>
                <w:sz w:val="18"/>
              </w:rPr>
              <w:t>6</w:t>
            </w:r>
          </w:p>
        </w:tc>
        <w:tc>
          <w:tcPr>
            <w:tcW w:type="dxa" w:w="2160"/>
          </w:tcPr>
          <w:p>
            <w:r>
              <w:rPr>
                <w:rFonts w:ascii="Calibri" w:hAnsi="Calibri"/>
                <w:sz w:val="18"/>
              </w:rPr>
              <w:t>Kirkuk–Tripoli (Iraq→Lebanon)</w:t>
            </w:r>
          </w:p>
        </w:tc>
        <w:tc>
          <w:tcPr>
            <w:tcW w:type="dxa" w:w="2160"/>
          </w:tcPr>
          <w:p>
            <w:r>
              <w:rPr>
                <w:rFonts w:ascii="Calibri" w:hAnsi="Calibri"/>
                <w:sz w:val="18"/>
              </w:rPr>
              <w:t>Referenced in Arabic-media Hormuz-revival framing (lower-quality source)</w:t>
            </w:r>
          </w:p>
        </w:tc>
        <w:tc>
          <w:tcPr>
            <w:tcW w:type="dxa" w:w="2160"/>
          </w:tcPr>
          <w:p>
            <w:r>
              <w:rPr>
                <w:rFonts w:ascii="Calibri" w:hAnsi="Calibri"/>
                <w:sz w:val="18"/>
              </w:rPr>
              <w:t>Mothballed</w:t>
            </w:r>
          </w:p>
        </w:tc>
      </w:tr>
      <w:tr>
        <w:tc>
          <w:tcPr>
            <w:tcW w:type="dxa" w:w="2160"/>
          </w:tcPr>
          <w:p>
            <w:r>
              <w:rPr>
                <w:rFonts w:ascii="Calibri" w:hAnsi="Calibri"/>
                <w:sz w:val="18"/>
              </w:rPr>
              <w:t>7</w:t>
            </w:r>
          </w:p>
        </w:tc>
        <w:tc>
          <w:tcPr>
            <w:tcW w:type="dxa" w:w="2160"/>
          </w:tcPr>
          <w:p>
            <w:r>
              <w:rPr>
                <w:rFonts w:ascii="Calibri" w:hAnsi="Calibri"/>
                <w:sz w:val="18"/>
              </w:rPr>
              <w:t>Iraq–Turkey / Kirkuk–Ceyhan</w:t>
            </w:r>
          </w:p>
        </w:tc>
        <w:tc>
          <w:tcPr>
            <w:tcW w:type="dxa" w:w="2160"/>
          </w:tcPr>
          <w:p>
            <w:r>
              <w:rPr>
                <w:rFonts w:ascii="Calibri" w:hAnsi="Calibri"/>
                <w:sz w:val="18"/>
              </w:rPr>
              <w:t>Idle since 2023 KRG halt; reopened 19 Mar 2026 at ~250k bpd (running ~200k May), goal 650k</w:t>
            </w:r>
          </w:p>
        </w:tc>
        <w:tc>
          <w:tcPr>
            <w:tcW w:type="dxa" w:w="2160"/>
          </w:tcPr>
          <w:p>
            <w:r>
              <w:rPr>
                <w:rFonts w:ascii="Calibri" w:hAnsi="Calibri"/>
                <w:sz w:val="18"/>
              </w:rPr>
              <w:t>Operating (reopened)</w:t>
            </w:r>
          </w:p>
        </w:tc>
      </w:tr>
      <w:tr>
        <w:tc>
          <w:tcPr>
            <w:tcW w:type="dxa" w:w="2160"/>
          </w:tcPr>
          <w:p>
            <w:r>
              <w:rPr>
                <w:rFonts w:ascii="Calibri" w:hAnsi="Calibri"/>
                <w:sz w:val="18"/>
              </w:rPr>
              <w:t>8</w:t>
            </w:r>
          </w:p>
        </w:tc>
        <w:tc>
          <w:tcPr>
            <w:tcW w:type="dxa" w:w="2160"/>
          </w:tcPr>
          <w:p>
            <w:r>
              <w:rPr>
                <w:rFonts w:ascii="Calibri" w:hAnsi="Calibri"/>
                <w:sz w:val="18"/>
              </w:rPr>
              <w:t>Trans-Arabian (Tapline)</w:t>
            </w:r>
          </w:p>
        </w:tc>
        <w:tc>
          <w:tcPr>
            <w:tcW w:type="dxa" w:w="2160"/>
          </w:tcPr>
          <w:p>
            <w:r>
              <w:rPr>
                <w:rFonts w:ascii="Calibri" w:hAnsi="Calibri"/>
                <w:sz w:val="18"/>
              </w:rPr>
              <w:t>Referenced only historically (e.g. 2011 IPSA+Tapline “~2 mb/d” precedent); no current revival discussion found</w:t>
            </w:r>
          </w:p>
        </w:tc>
        <w:tc>
          <w:tcPr>
            <w:tcW w:type="dxa" w:w="2160"/>
          </w:tcPr>
          <w:p>
            <w:r>
              <w:rPr>
                <w:rFonts w:ascii="Calibri" w:hAnsi="Calibri"/>
                <w:sz w:val="18"/>
              </w:rPr>
              <w:t>Retired</w:t>
            </w:r>
          </w:p>
        </w:tc>
      </w:tr>
      <w:tr>
        <w:tc>
          <w:tcPr>
            <w:tcW w:type="dxa" w:w="2160"/>
          </w:tcPr>
          <w:p>
            <w:r>
              <w:rPr>
                <w:rFonts w:ascii="Calibri" w:hAnsi="Calibri"/>
                <w:sz w:val="18"/>
              </w:rPr>
              <w:t>9</w:t>
            </w:r>
          </w:p>
        </w:tc>
        <w:tc>
          <w:tcPr>
            <w:tcW w:type="dxa" w:w="2160"/>
          </w:tcPr>
          <w:p>
            <w:r>
              <w:rPr>
                <w:rFonts w:ascii="Calibri" w:hAnsi="Calibri"/>
                <w:sz w:val="18"/>
              </w:rPr>
              <w:t>Kirkuk–Haifa</w:t>
            </w:r>
          </w:p>
        </w:tc>
        <w:tc>
          <w:tcPr>
            <w:tcW w:type="dxa" w:w="2160"/>
          </w:tcPr>
          <w:p>
            <w:r>
              <w:rPr>
                <w:rFonts w:ascii="Calibri" w:hAnsi="Calibri"/>
                <w:sz w:val="18"/>
              </w:rPr>
              <w:t>Referenced only historically; no current revival discussion found</w:t>
            </w:r>
          </w:p>
        </w:tc>
        <w:tc>
          <w:tcPr>
            <w:tcW w:type="dxa" w:w="2160"/>
          </w:tcPr>
          <w:p>
            <w:r>
              <w:rPr>
                <w:rFonts w:ascii="Calibri" w:hAnsi="Calibri"/>
                <w:sz w:val="18"/>
              </w:rPr>
              <w:t>Retired</w:t>
            </w:r>
          </w:p>
        </w:tc>
      </w:tr>
    </w:tbl>
    <w:p>
      <w:r>
        <w:rPr>
          <w:rFonts w:ascii="Calibri" w:hAnsi="Calibri"/>
          <w:b/>
          <w:sz w:val="26"/>
        </w:rPr>
        <w:t>Part 2 — Deeper route analysis</w:t>
      </w:r>
    </w:p>
    <w:p>
      <w:pPr>
        <w:pStyle w:val="ListBullet"/>
      </w:pPr>
      <w:r>
        <w:rPr>
          <w:rFonts w:ascii="Calibri" w:hAnsi="Calibri"/>
          <w:sz w:val="20"/>
        </w:rPr>
        <w:t>Capacity reality: ~20.9 mb/d transits Hormuz (1H 2025, EIA — ~20% of global petroleum liquids). Realistic spare bypass capacity ~2.6 mb/d (Saudi+UAE, EIA). Total operating-bypass nameplate ~9 mb/d. Al Jazeera (Mar 2026) answers “can pipelines replace Hormuz?” with a flat No.</w:t>
      </w:r>
    </w:p>
    <w:p>
      <w:pPr>
        <w:pStyle w:val="ListBullet"/>
      </w:pPr>
      <w:r>
        <w:rPr>
          <w:rFonts w:ascii="Calibri" w:hAnsi="Calibri"/>
          <w:sz w:val="20"/>
        </w:rPr>
        <w:t>Distinguish three capacity concepts: (a) nameplate/design, (b) emergency/expanded maximum (e.g. East–West’s 7 mb/d via NGL conversion), and (c) realistically available spare in a disruption (~2.6 mb/d). Conflating them inflates apparent bypass potential.</w:t>
      </w:r>
    </w:p>
    <w:p>
      <w:pPr>
        <w:pStyle w:val="ListBullet"/>
      </w:pPr>
      <w:r>
        <w:rPr>
          <w:rFonts w:ascii="Calibri" w:hAnsi="Calibri"/>
          <w:sz w:val="20"/>
        </w:rPr>
        <w:t>Reactivation realities: Iraq was caught unprepared by Iran’s March 2026 closure. Alternatives are “years away” and need billions — IEA’s Fatih Birol backs a Basra–Ceyhan link; PM al-Sudani allocated ~$1.5bn with Chinese partners; potential early flows late 2026/early 2027.</w:t>
      </w:r>
    </w:p>
    <w:p>
      <w:pPr>
        <w:pStyle w:val="ListBullet"/>
      </w:pPr>
      <w:r>
        <w:rPr>
          <w:rFonts w:ascii="Calibri" w:hAnsi="Calibri"/>
          <w:sz w:val="20"/>
        </w:rPr>
        <w:t>IPSA is the least likely mothballed line to revive (ownership dispute, 30-year disuse, an Aramco official called it “not in a stage to be utilised”). Kirkuk–Baniyas is the most actively discussed of the mothballed lines.</w:t>
      </w:r>
    </w:p>
    <w:p>
      <w:r>
        <w:rPr>
          <w:rFonts w:ascii="Calibri" w:hAnsi="Calibri"/>
          <w:sz w:val="20"/>
        </w:rPr>
        <w:t>Refuted claims (do not use): a combined Saudi+UAE figure of ~4.7 mb/d; a Saudi+UAE+Iran figure of ~3.5 mb/d; and the assertion that Goreh–Jask has gone entirely unused since 2021 (it is underused, not unused). A claim that Kirkuk–Baniyas was “severely damaged in the 2003 U.S. invasion” was also refuted — its precise current condition is thinly sourced.</w:t>
      </w:r>
    </w:p>
    <w:p>
      <w:r>
        <w:rPr>
          <w:rFonts w:ascii="Calibri" w:hAnsi="Calibri"/>
          <w:b/>
          <w:sz w:val="26"/>
        </w:rPr>
        <w:t>Part 3 — GOIT database &amp; mapping assessment</w:t>
      </w:r>
    </w:p>
    <w:p>
      <w:r>
        <w:rPr>
          <w:rFonts w:ascii="Calibri" w:hAnsi="Calibri"/>
          <w:sz w:val="20"/>
        </w:rPr>
        <w:t>Verdict: a strong, publication-quality map can be produced directly from the June 2026 GOIT release. Every route central to the Hormuz-bypass story already has usable line geometry in the GeoPackage (verified, not inferred from metadata).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Calibri" w:hAnsi="Calibri"/>
                <w:b/>
                <w:sz w:val="18"/>
              </w:rPr>
              <w:t>#</w:t>
            </w:r>
          </w:p>
        </w:tc>
        <w:tc>
          <w:tcPr>
            <w:tcW w:type="dxa" w:w="2160"/>
          </w:tcPr>
          <w:p>
            <w:r>
              <w:rPr>
                <w:rFonts w:ascii="Calibri" w:hAnsi="Calibri"/>
                <w:b/>
                <w:sz w:val="18"/>
              </w:rPr>
              <w:t>Route</w:t>
            </w:r>
          </w:p>
        </w:tc>
        <w:tc>
          <w:tcPr>
            <w:tcW w:type="dxa" w:w="2160"/>
          </w:tcPr>
          <w:p>
            <w:r>
              <w:rPr>
                <w:rFonts w:ascii="Calibri" w:hAnsi="Calibri"/>
                <w:b/>
                <w:sz w:val="18"/>
              </w:rPr>
              <w:t>Status</w:t>
            </w:r>
          </w:p>
        </w:tc>
        <w:tc>
          <w:tcPr>
            <w:tcW w:type="dxa" w:w="2160"/>
          </w:tcPr>
          <w:p>
            <w:r>
              <w:rPr>
                <w:rFonts w:ascii="Calibri" w:hAnsi="Calibri"/>
                <w:b/>
                <w:sz w:val="18"/>
              </w:rPr>
              <w:t>Mapped geometry</w:t>
            </w:r>
          </w:p>
        </w:tc>
      </w:tr>
      <w:tr>
        <w:tc>
          <w:tcPr>
            <w:tcW w:type="dxa" w:w="2160"/>
          </w:tcPr>
          <w:p>
            <w:r>
              <w:rPr>
                <w:rFonts w:ascii="Calibri" w:hAnsi="Calibri"/>
                <w:sz w:val="18"/>
              </w:rPr>
              <w:t>4</w:t>
            </w:r>
          </w:p>
        </w:tc>
        <w:tc>
          <w:tcPr>
            <w:tcW w:type="dxa" w:w="2160"/>
          </w:tcPr>
          <w:p>
            <w:r>
              <w:rPr>
                <w:rFonts w:ascii="Calibri" w:hAnsi="Calibri"/>
                <w:sz w:val="18"/>
              </w:rPr>
              <w:t>IPSA (Basra→Red Sea)</w:t>
            </w:r>
          </w:p>
        </w:tc>
        <w:tc>
          <w:tcPr>
            <w:tcW w:type="dxa" w:w="2160"/>
          </w:tcPr>
          <w:p>
            <w:r>
              <w:rPr>
                <w:rFonts w:ascii="Calibri" w:hAnsi="Calibri"/>
                <w:sz w:val="18"/>
              </w:rPr>
              <w:t>mothballed</w:t>
            </w:r>
          </w:p>
        </w:tc>
        <w:tc>
          <w:tcPr>
            <w:tcW w:type="dxa" w:w="2160"/>
          </w:tcPr>
          <w:p>
            <w:r>
              <w:rPr>
                <w:rFonts w:ascii="Calibri" w:hAnsi="Calibri"/>
                <w:sz w:val="18"/>
              </w:rPr>
              <w:t>very high (within meters)</w:t>
            </w:r>
          </w:p>
        </w:tc>
      </w:tr>
      <w:tr>
        <w:tc>
          <w:tcPr>
            <w:tcW w:type="dxa" w:w="2160"/>
          </w:tcPr>
          <w:p>
            <w:r>
              <w:rPr>
                <w:rFonts w:ascii="Calibri" w:hAnsi="Calibri"/>
                <w:sz w:val="18"/>
              </w:rPr>
              <w:t>1</w:t>
            </w:r>
          </w:p>
        </w:tc>
        <w:tc>
          <w:tcPr>
            <w:tcW w:type="dxa" w:w="2160"/>
          </w:tcPr>
          <w:p>
            <w:r>
              <w:rPr>
                <w:rFonts w:ascii="Calibri" w:hAnsi="Calibri"/>
                <w:sz w:val="18"/>
              </w:rPr>
              <w:t>East–West / Petroline main</w:t>
            </w:r>
          </w:p>
        </w:tc>
        <w:tc>
          <w:tcPr>
            <w:tcW w:type="dxa" w:w="2160"/>
          </w:tcPr>
          <w:p>
            <w:r>
              <w:rPr>
                <w:rFonts w:ascii="Calibri" w:hAnsi="Calibri"/>
                <w:sz w:val="18"/>
              </w:rPr>
              <w:t>operating</w:t>
            </w:r>
          </w:p>
        </w:tc>
        <w:tc>
          <w:tcPr>
            <w:tcW w:type="dxa" w:w="2160"/>
          </w:tcPr>
          <w:p>
            <w:r>
              <w:rPr>
                <w:rFonts w:ascii="Calibri" w:hAnsi="Calibri"/>
                <w:sz w:val="18"/>
              </w:rPr>
              <w:t>very high</w:t>
            </w:r>
          </w:p>
        </w:tc>
      </w:tr>
      <w:tr>
        <w:tc>
          <w:tcPr>
            <w:tcW w:type="dxa" w:w="2160"/>
          </w:tcPr>
          <w:p>
            <w:r>
              <w:rPr>
                <w:rFonts w:ascii="Calibri" w:hAnsi="Calibri"/>
                <w:sz w:val="18"/>
              </w:rPr>
              <w:t>2</w:t>
            </w:r>
          </w:p>
        </w:tc>
        <w:tc>
          <w:tcPr>
            <w:tcW w:type="dxa" w:w="2160"/>
          </w:tcPr>
          <w:p>
            <w:r>
              <w:rPr>
                <w:rFonts w:ascii="Calibri" w:hAnsi="Calibri"/>
                <w:sz w:val="18"/>
              </w:rPr>
              <w:t>Bab-Habshan–Fujairah (ADCOP)</w:t>
            </w:r>
          </w:p>
        </w:tc>
        <w:tc>
          <w:tcPr>
            <w:tcW w:type="dxa" w:w="2160"/>
          </w:tcPr>
          <w:p>
            <w:r>
              <w:rPr>
                <w:rFonts w:ascii="Calibri" w:hAnsi="Calibri"/>
                <w:sz w:val="18"/>
              </w:rPr>
              <w:t>operating</w:t>
            </w:r>
          </w:p>
        </w:tc>
        <w:tc>
          <w:tcPr>
            <w:tcW w:type="dxa" w:w="2160"/>
          </w:tcPr>
          <w:p>
            <w:r>
              <w:rPr>
                <w:rFonts w:ascii="Calibri" w:hAnsi="Calibri"/>
                <w:sz w:val="18"/>
              </w:rPr>
              <w:t>high</w:t>
            </w:r>
          </w:p>
        </w:tc>
      </w:tr>
      <w:tr>
        <w:tc>
          <w:tcPr>
            <w:tcW w:type="dxa" w:w="2160"/>
          </w:tcPr>
          <w:p>
            <w:r>
              <w:rPr>
                <w:rFonts w:ascii="Calibri" w:hAnsi="Calibri"/>
                <w:sz w:val="18"/>
              </w:rPr>
              <w:t>3</w:t>
            </w:r>
          </w:p>
        </w:tc>
        <w:tc>
          <w:tcPr>
            <w:tcW w:type="dxa" w:w="2160"/>
          </w:tcPr>
          <w:p>
            <w:r>
              <w:rPr>
                <w:rFonts w:ascii="Calibri" w:hAnsi="Calibri"/>
                <w:sz w:val="18"/>
              </w:rPr>
              <w:t>Goureh–Jask</w:t>
            </w:r>
          </w:p>
        </w:tc>
        <w:tc>
          <w:tcPr>
            <w:tcW w:type="dxa" w:w="2160"/>
          </w:tcPr>
          <w:p>
            <w:r>
              <w:rPr>
                <w:rFonts w:ascii="Calibri" w:hAnsi="Calibri"/>
                <w:sz w:val="18"/>
              </w:rPr>
              <w:t>operating</w:t>
            </w:r>
          </w:p>
        </w:tc>
        <w:tc>
          <w:tcPr>
            <w:tcW w:type="dxa" w:w="2160"/>
          </w:tcPr>
          <w:p>
            <w:r>
              <w:rPr>
                <w:rFonts w:ascii="Calibri" w:hAnsi="Calibri"/>
                <w:sz w:val="18"/>
              </w:rPr>
              <w:t>high</w:t>
            </w:r>
          </w:p>
        </w:tc>
      </w:tr>
      <w:tr>
        <w:tc>
          <w:tcPr>
            <w:tcW w:type="dxa" w:w="2160"/>
          </w:tcPr>
          <w:p>
            <w:r>
              <w:rPr>
                <w:rFonts w:ascii="Calibri" w:hAnsi="Calibri"/>
                <w:sz w:val="18"/>
              </w:rPr>
              <w:t>7</w:t>
            </w:r>
          </w:p>
        </w:tc>
        <w:tc>
          <w:tcPr>
            <w:tcW w:type="dxa" w:w="2160"/>
          </w:tcPr>
          <w:p>
            <w:r>
              <w:rPr>
                <w:rFonts w:ascii="Calibri" w:hAnsi="Calibri"/>
                <w:sz w:val="18"/>
              </w:rPr>
              <w:t>Kirkuk–Ceyhan (ITP)</w:t>
            </w:r>
          </w:p>
        </w:tc>
        <w:tc>
          <w:tcPr>
            <w:tcW w:type="dxa" w:w="2160"/>
          </w:tcPr>
          <w:p>
            <w:r>
              <w:rPr>
                <w:rFonts w:ascii="Calibri" w:hAnsi="Calibri"/>
                <w:sz w:val="18"/>
              </w:rPr>
              <w:t>operating</w:t>
            </w:r>
          </w:p>
        </w:tc>
        <w:tc>
          <w:tcPr>
            <w:tcW w:type="dxa" w:w="2160"/>
          </w:tcPr>
          <w:p>
            <w:r>
              <w:rPr>
                <w:rFonts w:ascii="Calibri" w:hAnsi="Calibri"/>
                <w:sz w:val="18"/>
              </w:rPr>
              <w:t>high</w:t>
            </w:r>
          </w:p>
        </w:tc>
      </w:tr>
      <w:tr>
        <w:tc>
          <w:tcPr>
            <w:tcW w:type="dxa" w:w="2160"/>
          </w:tcPr>
          <w:p>
            <w:r>
              <w:rPr>
                <w:rFonts w:ascii="Calibri" w:hAnsi="Calibri"/>
                <w:sz w:val="18"/>
              </w:rPr>
              <w:t>5</w:t>
            </w:r>
          </w:p>
        </w:tc>
        <w:tc>
          <w:tcPr>
            <w:tcW w:type="dxa" w:w="2160"/>
          </w:tcPr>
          <w:p>
            <w:r>
              <w:rPr>
                <w:rFonts w:ascii="Calibri" w:hAnsi="Calibri"/>
                <w:sz w:val="18"/>
              </w:rPr>
              <w:t>Kirkuk–Baniyas main</w:t>
            </w:r>
          </w:p>
        </w:tc>
        <w:tc>
          <w:tcPr>
            <w:tcW w:type="dxa" w:w="2160"/>
          </w:tcPr>
          <w:p>
            <w:r>
              <w:rPr>
                <w:rFonts w:ascii="Calibri" w:hAnsi="Calibri"/>
                <w:sz w:val="18"/>
              </w:rPr>
              <w:t>mothballed</w:t>
            </w:r>
          </w:p>
        </w:tc>
        <w:tc>
          <w:tcPr>
            <w:tcW w:type="dxa" w:w="2160"/>
          </w:tcPr>
          <w:p>
            <w:r>
              <w:rPr>
                <w:rFonts w:ascii="Calibri" w:hAnsi="Calibri"/>
                <w:sz w:val="18"/>
              </w:rPr>
              <w:t>medium</w:t>
            </w:r>
          </w:p>
        </w:tc>
      </w:tr>
      <w:tr>
        <w:tc>
          <w:tcPr>
            <w:tcW w:type="dxa" w:w="2160"/>
          </w:tcPr>
          <w:p>
            <w:r>
              <w:rPr>
                <w:rFonts w:ascii="Calibri" w:hAnsi="Calibri"/>
                <w:sz w:val="18"/>
              </w:rPr>
              <w:t>6</w:t>
            </w:r>
          </w:p>
        </w:tc>
        <w:tc>
          <w:tcPr>
            <w:tcW w:type="dxa" w:w="2160"/>
          </w:tcPr>
          <w:p>
            <w:r>
              <w:rPr>
                <w:rFonts w:ascii="Calibri" w:hAnsi="Calibri"/>
                <w:sz w:val="18"/>
              </w:rPr>
              <w:t>Kirkuk–Tripoli</w:t>
            </w:r>
          </w:p>
        </w:tc>
        <w:tc>
          <w:tcPr>
            <w:tcW w:type="dxa" w:w="2160"/>
          </w:tcPr>
          <w:p>
            <w:r>
              <w:rPr>
                <w:rFonts w:ascii="Calibri" w:hAnsi="Calibri"/>
                <w:sz w:val="18"/>
              </w:rPr>
              <w:t>mothballed</w:t>
            </w:r>
          </w:p>
        </w:tc>
        <w:tc>
          <w:tcPr>
            <w:tcW w:type="dxa" w:w="2160"/>
          </w:tcPr>
          <w:p>
            <w:r>
              <w:rPr>
                <w:rFonts w:ascii="Calibri" w:hAnsi="Calibri"/>
                <w:sz w:val="18"/>
              </w:rPr>
              <w:t>medium</w:t>
            </w:r>
          </w:p>
        </w:tc>
      </w:tr>
      <w:tr>
        <w:tc>
          <w:tcPr>
            <w:tcW w:type="dxa" w:w="2160"/>
          </w:tcPr>
          <w:p>
            <w:r>
              <w:rPr>
                <w:rFonts w:ascii="Calibri" w:hAnsi="Calibri"/>
                <w:sz w:val="18"/>
              </w:rPr>
              <w:t>8</w:t>
            </w:r>
          </w:p>
        </w:tc>
        <w:tc>
          <w:tcPr>
            <w:tcW w:type="dxa" w:w="2160"/>
          </w:tcPr>
          <w:p>
            <w:r>
              <w:rPr>
                <w:rFonts w:ascii="Calibri" w:hAnsi="Calibri"/>
                <w:sz w:val="18"/>
              </w:rPr>
              <w:t>Trans-Arabian (Tapline)</w:t>
            </w:r>
          </w:p>
        </w:tc>
        <w:tc>
          <w:tcPr>
            <w:tcW w:type="dxa" w:w="2160"/>
          </w:tcPr>
          <w:p>
            <w:r>
              <w:rPr>
                <w:rFonts w:ascii="Calibri" w:hAnsi="Calibri"/>
                <w:sz w:val="18"/>
              </w:rPr>
              <w:t>retired</w:t>
            </w:r>
          </w:p>
        </w:tc>
        <w:tc>
          <w:tcPr>
            <w:tcW w:type="dxa" w:w="2160"/>
          </w:tcPr>
          <w:p>
            <w:r>
              <w:rPr>
                <w:rFonts w:ascii="Calibri" w:hAnsi="Calibri"/>
                <w:sz w:val="18"/>
              </w:rPr>
              <w:t>high</w:t>
            </w:r>
          </w:p>
        </w:tc>
      </w:tr>
      <w:tr>
        <w:tc>
          <w:tcPr>
            <w:tcW w:type="dxa" w:w="2160"/>
          </w:tcPr>
          <w:p>
            <w:r>
              <w:rPr>
                <w:rFonts w:ascii="Calibri" w:hAnsi="Calibri"/>
                <w:sz w:val="18"/>
              </w:rPr>
              <w:t>9</w:t>
            </w:r>
          </w:p>
        </w:tc>
        <w:tc>
          <w:tcPr>
            <w:tcW w:type="dxa" w:w="2160"/>
          </w:tcPr>
          <w:p>
            <w:r>
              <w:rPr>
                <w:rFonts w:ascii="Calibri" w:hAnsi="Calibri"/>
                <w:sz w:val="18"/>
              </w:rPr>
              <w:t>Kirkuk–Haifa</w:t>
            </w:r>
          </w:p>
        </w:tc>
        <w:tc>
          <w:tcPr>
            <w:tcW w:type="dxa" w:w="2160"/>
          </w:tcPr>
          <w:p>
            <w:r>
              <w:rPr>
                <w:rFonts w:ascii="Calibri" w:hAnsi="Calibri"/>
                <w:sz w:val="18"/>
              </w:rPr>
              <w:t>retired</w:t>
            </w:r>
          </w:p>
        </w:tc>
        <w:tc>
          <w:tcPr>
            <w:tcW w:type="dxa" w:w="2160"/>
          </w:tcPr>
          <w:p>
            <w:r>
              <w:rPr>
                <w:rFonts w:ascii="Calibri" w:hAnsi="Calibri"/>
                <w:sz w:val="18"/>
              </w:rPr>
              <w:t>medium</w:t>
            </w:r>
          </w:p>
        </w:tc>
      </w:tr>
    </w:tbl>
    <w:p>
      <w:r>
        <w:rPr>
          <w:rFonts w:ascii="Calibri" w:hAnsi="Calibri"/>
          <w:sz w:val="20"/>
        </w:rPr>
        <w:t>Reconciling the announcement figures: GOIT shows 4,838 km of idle+mothballed pipeline in Western Asia (8 segments), matching the draft’s “roughly 4,800 km.” However, only ~3,346 km of that—the three Iraqi export lines (IPSA, Kirkuk–Baniyas, Kirkuk–Tripoli)—is genuinely Hormuz-relevant. The remainder is domestic war-idled infrastructure: three Yemeni lines (~783 km) and Syria’s Tal Adas–Tartus (663 km), none of which are Gulf-crude reroutes (these are omitted from the map).</w:t>
      </w:r>
    </w:p>
    <w:p>
      <w:r>
        <w:rPr>
          <w:rFonts w:ascii="Calibri" w:hAnsi="Calibri"/>
          <w:sz w:val="20"/>
        </w:rPr>
        <w:t>Mapping gaps: among idle/mothballed lines, only Tal Adas–Tartus (663 km, Syria) lacks geometry and is the sole candidate worth digitizing for a complete idle/mothballed picture — but it is not needed for a Hormuz-alternatives map. Minor unmapped items (Khor Al-Amaya 46 km Gulf terminal; Goreh B-Genaveh construction feeder; two East–West capacity-expansion segments) do not affect the narrative, since the main lines they belong to are mapped.</w:t>
      </w:r>
    </w:p>
    <w:p>
      <w:r>
        <w:rPr>
          <w:rFonts w:ascii="Calibri" w:hAnsi="Calibri"/>
          <w:b/>
          <w:sz w:val="26"/>
        </w:rPr>
        <w:t>Recommended edits to the announcement language</w:t>
      </w:r>
    </w:p>
    <w:p>
      <w:pPr>
        <w:pStyle w:val="ListBullet"/>
      </w:pPr>
      <w:r>
        <w:rPr>
          <w:rFonts w:ascii="Calibri" w:hAnsi="Calibri"/>
          <w:sz w:val="20"/>
        </w:rPr>
        <w:t>Keep “Iran’s underused Goreh–Jask route” — accurate and well-supported.</w:t>
      </w:r>
    </w:p>
    <w:p>
      <w:pPr>
        <w:pStyle w:val="ListBullet"/>
      </w:pPr>
      <w:r>
        <w:rPr>
          <w:rFonts w:ascii="Calibri" w:hAnsi="Calibri"/>
          <w:sz w:val="20"/>
        </w:rPr>
        <w:t>Narrow the “~4,800 km … becoming part of rerouting discussions” phrasing: the genuinely Hormuz-relevant mothballed assets are the ~3,300 km of Iraqi export lines (IPSA, Kirkuk–Baniyas, Kirkuk–Tripoli). The full 4,800 km includes Yemeni and Syrian domestic lines idled by war, which are not part of rerouting discussions.</w:t>
      </w:r>
    </w:p>
    <w:p>
      <w:pPr>
        <w:pStyle w:val="ListBullet"/>
      </w:pPr>
      <w:r>
        <w:rPr>
          <w:rFonts w:ascii="Calibri" w:hAnsi="Calibri"/>
          <w:sz w:val="20"/>
        </w:rPr>
        <w:t>If citing a bypass-capacity number, use EIA’s ~2.6 mb/d available spare (Saudi+UAE), not larger nameplate or refuted combined figures.</w:t>
      </w:r>
    </w:p>
    <w:p>
      <w:r>
        <w:rPr>
          <w:rFonts w:ascii="Calibri" w:hAnsi="Calibri"/>
          <w:b/>
          <w:sz w:val="26"/>
        </w:rPr>
        <w:t>Sources</w:t>
      </w:r>
    </w:p>
    <w:p>
      <w:pPr>
        <w:pStyle w:val="ListBullet"/>
      </w:pPr>
      <w:r>
        <w:rPr>
          <w:rFonts w:ascii="Calibri" w:hAnsi="Calibri"/>
          <w:sz w:val="20"/>
        </w:rPr>
        <w:t>EIA, Today in Energy (id=65504): https://www.eia.gov/todayinenergy/detail.php?id=65504</w:t>
      </w:r>
    </w:p>
    <w:p>
      <w:pPr>
        <w:pStyle w:val="ListBullet"/>
      </w:pPr>
      <w:r>
        <w:rPr>
          <w:rFonts w:ascii="Calibri" w:hAnsi="Calibri"/>
          <w:sz w:val="20"/>
        </w:rPr>
        <w:t>EIA, Today in Energy (id=61002): https://www.eia.gov/todayinenergy/detail.php?id=61002</w:t>
      </w:r>
    </w:p>
    <w:p>
      <w:pPr>
        <w:pStyle w:val="ListBullet"/>
      </w:pPr>
      <w:r>
        <w:rPr>
          <w:rFonts w:ascii="Calibri" w:hAnsi="Calibri"/>
          <w:sz w:val="20"/>
        </w:rPr>
        <w:t>EIA, World Oil Transit Chokepoints: https://www.eia.gov/international/content/analysis/special_topics/World_Oil_Transit_Chokepoints/</w:t>
      </w:r>
    </w:p>
    <w:p>
      <w:pPr>
        <w:pStyle w:val="ListBullet"/>
      </w:pPr>
      <w:r>
        <w:rPr>
          <w:rFonts w:ascii="Calibri" w:hAnsi="Calibri"/>
          <w:sz w:val="20"/>
        </w:rPr>
        <w:t>CNBC (12 Mar 2026): https://www.cnbc.com/2026/03/12/strait-of-hormuz-oil-pipelines-iran-war-saudi-arabia-uae.html</w:t>
      </w:r>
    </w:p>
    <w:p>
      <w:pPr>
        <w:pStyle w:val="ListBullet"/>
      </w:pPr>
      <w:r>
        <w:rPr>
          <w:rFonts w:ascii="Calibri" w:hAnsi="Calibri"/>
          <w:sz w:val="20"/>
        </w:rPr>
        <w:t>CNBC (9 Jun 2026): https://www.cnbc.com/2026/06/09/iraq-uae-hormuz-oil-pipelines-oil-iran-war.html</w:t>
      </w:r>
    </w:p>
    <w:p>
      <w:pPr>
        <w:pStyle w:val="ListBullet"/>
      </w:pPr>
      <w:r>
        <w:rPr>
          <w:rFonts w:ascii="Calibri" w:hAnsi="Calibri"/>
          <w:sz w:val="20"/>
        </w:rPr>
        <w:t>Al Jazeera (27 Mar 2026): https://www.aljazeera.com/economy/2026/3/27/saudi-uae-iraq-can-three-pipelines-help-oil-escape-strait-of-hormuz</w:t>
      </w:r>
    </w:p>
    <w:p>
      <w:pPr>
        <w:pStyle w:val="ListBullet"/>
      </w:pPr>
      <w:r>
        <w:rPr>
          <w:rFonts w:ascii="Calibri" w:hAnsi="Calibri"/>
          <w:sz w:val="20"/>
        </w:rPr>
        <w:t>FDD (5 May 2026): https://www.fdd.org/analysis/2026/05/05/iraq-is-envisioning-new-oil-pipelines-but-they-are-likely-a-pipe-dream/</w:t>
      </w:r>
    </w:p>
    <w:p>
      <w:pPr>
        <w:pStyle w:val="ListBullet"/>
      </w:pPr>
      <w:r>
        <w:rPr>
          <w:rFonts w:ascii="Calibri" w:hAnsi="Calibri"/>
          <w:sz w:val="20"/>
        </w:rPr>
        <w:t>Kpler: https://www.kpler.com/blog/beyond-hormuz-the-pipeline-routes-that-could-reshape-gulf-oil-flows</w:t>
      </w:r>
    </w:p>
    <w:p>
      <w:pPr>
        <w:pStyle w:val="ListBullet"/>
      </w:pPr>
      <w:r>
        <w:rPr>
          <w:rFonts w:ascii="Calibri" w:hAnsi="Calibri"/>
          <w:sz w:val="20"/>
        </w:rPr>
        <w:t>GEM.wiki, IPSA: https://www.gem.wiki/Iraqi_Pipeline_in_Saudi_Arabia_(IPSA)</w:t>
      </w:r>
    </w:p>
    <w:p>
      <w:pPr>
        <w:pStyle w:val="ListBullet"/>
      </w:pPr>
      <w:r>
        <w:rPr>
          <w:rFonts w:ascii="Calibri" w:hAnsi="Calibri"/>
          <w:sz w:val="20"/>
        </w:rPr>
        <w:t>The National (12 Aug 2025): https://www.thenationalnews.com/news/mena/2025/08/12/iraq-and-syria-discuss-revival-of-kirkukbaniyas-oil-pipeline/</w:t>
      </w:r>
    </w:p>
    <w:p>
      <w:pPr>
        <w:pStyle w:val="ListBullet"/>
      </w:pPr>
      <w:r>
        <w:rPr>
          <w:rFonts w:ascii="Calibri" w:hAnsi="Calibri"/>
          <w:sz w:val="20"/>
        </w:rPr>
        <w:t>The National (16 Mar 2026): https://www.thenationalnews.com/business/energy/2026/03/16/iraq-works-to-revive-kirkuk-ceyhan-pipeline-as-southern-exports-halt/</w:t>
      </w:r>
    </w:p>
    <w:p>
      <w:pPr>
        <w:pStyle w:val="ListBullet"/>
      </w:pPr>
      <w:r>
        <w:rPr>
          <w:rFonts w:ascii="Calibri" w:hAnsi="Calibri"/>
          <w:sz w:val="20"/>
        </w:rPr>
        <w:t>World Pipelines (19 Dec 2025): https://www.worldpipelines.com/project-news/19122025/syria-iraq-planning-to-revive-kirkukbaniyas-oil-pipeline/</w:t>
      </w:r>
    </w:p>
    <w:p>
      <w:pPr>
        <w:pStyle w:val="ListBullet"/>
      </w:pPr>
      <w:r>
        <w:rPr>
          <w:rFonts w:ascii="Calibri" w:hAnsi="Calibri"/>
          <w:sz w:val="20"/>
        </w:rPr>
        <w:t>Almodon (5 Apr 2026): https://www.almodon.com/economy/2026/04/05/kirkuktripoli-pipeline-can-hormuz-revive-it</w:t>
      </w:r>
    </w:p>
    <w:p>
      <w:pPr>
        <w:pStyle w:val="ListBullet"/>
      </w:pPr>
      <w:r>
        <w:rPr>
          <w:rFonts w:ascii="Calibri" w:hAnsi="Calibri"/>
          <w:sz w:val="20"/>
        </w:rPr>
        <w:t>Maritime Executive (Jask terminal): https://maritime-executive.com/editorials/iran-s-jask-oil-terminal-a-squandered-2-billion-investment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