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4.3.0 -->
  <w:body>
    <w:p w:rsidR="0064795F" w:rsidRPr="00E36E7A" w:rsidP="00B95A26" w14:paraId="586E98D9" w14:textId="337DA449">
      <w:pPr>
        <w:shd w:val="clear" w:color="auto" w:fill="FFFFFF"/>
        <w:spacing w:after="369" w:line="484" w:lineRule="atLeast"/>
        <w:jc w:val="center"/>
        <w:outlineLvl w:val="1"/>
        <w:rPr>
          <w:rFonts w:ascii="Montserrat" w:eastAsia="Times New Roman" w:hAnsi="Montserrat" w:cs="Arial"/>
          <w:color w:val="0F243E" w:themeColor="text2" w:themeShade="80"/>
          <w:spacing w:val="-12"/>
          <w:sz w:val="37"/>
          <w:szCs w:val="37"/>
          <w:lang w:val="en-US" w:eastAsia="fr-FR"/>
        </w:rPr>
      </w:pPr>
      <w:r w:rsidRPr="00E36E7A">
        <w:rPr>
          <w:rFonts w:ascii="Montserrat" w:eastAsia="Times New Roman" w:hAnsi="Montserrat" w:cs="Arial"/>
          <w:noProof/>
          <w:color w:val="0F243E" w:themeColor="text2" w:themeShade="80"/>
          <w:spacing w:val="-12"/>
          <w:sz w:val="37"/>
          <w:szCs w:val="37"/>
          <w:lang w:val="en-US" w:eastAsia="fr-FR"/>
        </w:rPr>
        <w:drawing>
          <wp:inline distT="0" distB="0" distL="0" distR="0">
            <wp:extent cx="4391025" cy="4388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4480390" cy="447742"/>
                    </a:xfrm>
                    <a:prstGeom prst="rect">
                      <a:avLst/>
                    </a:prstGeom>
                  </pic:spPr>
                </pic:pic>
              </a:graphicData>
            </a:graphic>
          </wp:inline>
        </w:drawing>
      </w:r>
    </w:p>
    <w:p w:rsidR="00B95A26" w:rsidP="0064795F" w14:paraId="0CB03F42" w14:textId="77777777">
      <w:pPr>
        <w:shd w:val="clear" w:color="auto" w:fill="FFFFFF"/>
        <w:spacing w:after="380" w:line="346" w:lineRule="atLeast"/>
        <w:outlineLvl w:val="2"/>
        <w:rPr>
          <w:rFonts w:ascii="Montserrat" w:eastAsia="Times New Roman" w:hAnsi="Montserrat" w:cs="Arial"/>
          <w:i/>
          <w:iCs/>
          <w:noProof/>
          <w:color w:val="0F243E" w:themeColor="text2" w:themeShade="80"/>
          <w:sz w:val="24"/>
          <w:szCs w:val="24"/>
          <w:lang w:val="en-US" w:eastAsia="fr-FR"/>
        </w:rPr>
      </w:pPr>
    </w:p>
    <w:p w:rsidR="0064795F" w:rsidP="0064795F" w14:paraId="25EA96AC" w14:textId="51A1B217">
      <w:pPr>
        <w:shd w:val="clear" w:color="auto" w:fill="FFFFFF"/>
        <w:bidi w:val="0"/>
        <w:spacing w:after="380" w:line="346" w:lineRule="atLeast"/>
        <w:outlineLvl w:val="2"/>
        <w:rPr>
          <w:rFonts w:ascii="Montserrat" w:eastAsia="Times New Roman" w:hAnsi="Montserrat" w:cs="Arial"/>
          <w:i/>
          <w:iCs/>
          <w:noProof/>
          <w:color w:val="0F243E" w:themeColor="text2" w:themeShade="80"/>
          <w:sz w:val="24"/>
          <w:szCs w:val="24"/>
          <w:lang w:val="en-US" w:eastAsia="fr-FR"/>
        </w:rPr>
      </w:pPr>
      <w:r>
        <w:rPr>
          <w:rStyle w:val="DefaultParagraphFont"/>
          <w:rFonts w:ascii="Montserrat" w:eastAsia="Montserrat" w:hAnsi="Montserrat" w:cs="Arial"/>
          <w:b w:val="0"/>
          <w:bCs w:val="0"/>
          <w:i/>
          <w:iCs/>
          <w:caps w:val="0"/>
          <w:smallCaps w:val="0"/>
          <w:strike w:val="0"/>
          <w:dstrike w:val="0"/>
          <w:outline w:val="0"/>
          <w:shadow w:val="0"/>
          <w:emboss w:val="0"/>
          <w:imprint w:val="0"/>
          <w:noProof/>
          <w:vanish w:val="0"/>
          <w:color w:val="0F243E"/>
          <w:spacing w:val="0"/>
          <w:w w:val="100"/>
          <w:kern w:val="0"/>
          <w:position w:val="0"/>
          <w:sz w:val="24"/>
          <w:szCs w:val="24"/>
          <w:highlight w:val="none"/>
          <w:u w:val="none" w:color="auto"/>
          <w:bdr w:val="none" w:sz="0" w:space="0" w:color="auto"/>
          <w:shd w:val="clear" w:color="auto" w:fill="auto"/>
          <w:vertAlign w:val="baseline"/>
          <w:rtl w:val="0"/>
          <w:cs w:val="0"/>
          <w:lang w:val="fr-FR" w:eastAsia="fr-FR" w:bidi="ar-SA"/>
        </w:rPr>
        <w:t>Automatiser la gestion des processus et des ressources localisation.</w:t>
      </w:r>
      <w:r>
        <w:rPr>
          <w:rStyle w:val="FootnoteReference"/>
          <w:rFonts w:ascii="Montserrat" w:eastAsia="Times New Roman" w:hAnsi="Montserrat" w:cs="Arial"/>
          <w:i/>
          <w:iCs/>
          <w:noProof/>
          <w:color w:val="0F243E" w:themeColor="text2" w:themeShade="80"/>
          <w:sz w:val="24"/>
          <w:szCs w:val="24"/>
          <w:lang w:val="en-US" w:eastAsia="fr-FR"/>
        </w:rPr>
        <w:footnoteReference w:id="2"/>
      </w:r>
    </w:p>
    <w:p w:rsidR="00334C96" w:rsidRPr="00334C96" w:rsidP="0064795F" w14:paraId="4339FBD0" w14:textId="7D807A3C">
      <w:pPr>
        <w:shd w:val="clear" w:color="auto" w:fill="FFFFFF"/>
        <w:bidi w:val="0"/>
        <w:spacing w:after="380" w:line="346" w:lineRule="atLeast"/>
        <w:outlineLvl w:val="2"/>
        <w:rPr>
          <w:rFonts w:ascii="Montserrat" w:eastAsia="Times New Roman" w:hAnsi="Montserrat" w:cs="Arial"/>
          <w:i/>
          <w:iCs/>
          <w:color w:val="FF0000"/>
          <w:sz w:val="16"/>
          <w:szCs w:val="16"/>
          <w:lang w:val="en-US" w:eastAsia="fr-FR"/>
        </w:rPr>
      </w:pPr>
      <w:r>
        <w:rPr>
          <w:rStyle w:val="DefaultParagraphFont"/>
          <w:rFonts w:ascii="Montserrat" w:eastAsia="Montserrat" w:hAnsi="Montserrat" w:cs="Arial"/>
          <w:b w:val="0"/>
          <w:bCs w:val="0"/>
          <w:i/>
          <w:iCs/>
          <w:caps w:val="0"/>
          <w:smallCaps w:val="0"/>
          <w:strike w:val="0"/>
          <w:dstrike w:val="0"/>
          <w:outline w:val="0"/>
          <w:shadow w:val="0"/>
          <w:emboss w:val="0"/>
          <w:imprint w:val="0"/>
          <w:noProof/>
          <w:vanish w:val="0"/>
          <w:color w:val="FF0000"/>
          <w:spacing w:val="0"/>
          <w:w w:val="100"/>
          <w:kern w:val="0"/>
          <w:position w:val="0"/>
          <w:sz w:val="16"/>
          <w:szCs w:val="16"/>
          <w:highlight w:val="none"/>
          <w:u w:val="none" w:color="auto"/>
          <w:bdr w:val="none" w:sz="0" w:space="0" w:color="auto"/>
          <w:shd w:val="clear" w:color="auto" w:fill="auto"/>
          <w:vertAlign w:val="baseline"/>
          <w:rtl w:val="0"/>
          <w:cs w:val="0"/>
          <w:lang w:val="fr-FR" w:eastAsia="fr-FR" w:bidi="ar-SA"/>
        </w:rPr>
        <w:t>Mise à jour 06/25/25 - IBA</w:t>
      </w:r>
    </w:p>
    <w:p w:rsidR="00494A43" w:rsidRPr="00E36E7A" w:rsidP="00FE4625" w14:paraId="33A31628" w14:textId="3BA709CC">
      <w:pPr>
        <w:pStyle w:val="lead2"/>
        <w:shd w:val="clear" w:color="auto" w:fill="FFFFFF"/>
        <w:bidi w:val="0"/>
        <w:spacing w:before="0" w:beforeAutospacing="0" w:after="300" w:afterAutospacing="0" w:line="360" w:lineRule="atLeast"/>
        <w:rPr>
          <w:rFonts w:ascii="Montserrat" w:hAnsi="Montserrat" w:cs="Arial"/>
          <w:color w:val="0F243E" w:themeColor="text2" w:themeShade="80"/>
          <w:sz w:val="20"/>
          <w:szCs w:val="20"/>
          <w:lang w:val="en-US"/>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GlobalLink Enterprise permet de rationaliser l'ensemble du processus de gestion des exigences de Localisation complexes pour les contenus en ligne et hors ligne.</w:t>
      </w:r>
    </w:p>
    <w:p w:rsidR="0074464C" w:rsidRPr="00E36E7A" w:rsidP="00FE4625" w14:paraId="1295D5EC" w14:textId="020CDBC1">
      <w:pPr>
        <w:pStyle w:val="lead2"/>
        <w:shd w:val="clear" w:color="auto" w:fill="FFFFFF"/>
        <w:bidi w:val="0"/>
        <w:spacing w:before="0" w:beforeAutospacing="0" w:after="300" w:afterAutospacing="0" w:line="360" w:lineRule="atLeast"/>
        <w:rPr>
          <w:rFonts w:ascii="Montserrat" w:hAnsi="Montserrat" w:cs="Arial"/>
          <w:color w:val="0F243E" w:themeColor="text2" w:themeShade="80"/>
          <w:sz w:val="20"/>
          <w:szCs w:val="20"/>
          <w:lang w:val="en-US"/>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Cette année, GlobalLink Enterprise a reçu une mise à jour majeure, avec une expérience utilisateur encore améliorée.</w:t>
      </w:r>
    </w:p>
    <w:p w:rsidR="0064795F" w:rsidP="004053DB" w14:paraId="193C8CF6" w14:textId="607776C7">
      <w:pPr>
        <w:pStyle w:val="lead2"/>
        <w:shd w:val="clear" w:color="auto" w:fill="FFFFFF"/>
        <w:bidi w:val="0"/>
        <w:spacing w:before="0" w:beforeAutospacing="0" w:after="300" w:afterAutospacing="0" w:line="360" w:lineRule="atLeast"/>
        <w:rPr>
          <w:rFonts w:ascii="Montserrat" w:hAnsi="Montserrat" w:cs="Arial"/>
          <w:color w:val="0F243E" w:themeColor="text2" w:themeShade="80"/>
          <w:sz w:val="20"/>
          <w:szCs w:val="20"/>
          <w:lang w:val="en-US"/>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GlobalLink Enterprise est une plateforme d'automatisation des processus aux capacités d'intégration sophistiquées. Il peut aussi être un outil de gestion des fournisseurs de traduction, présente des capacités de customisation des processus, le tout au travers d’une plateforme en ligne à l’interface intuitive.</w:t>
      </w: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 xml:space="preserve"> </w:t>
      </w: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GlobalLink Enterprise peut être facilement configuré pour répondre aux besoins de toute organisation en matière de services linguistiques.</w:t>
      </w:r>
    </w:p>
    <w:p w:rsidR="00B95A26" w:rsidRPr="00E36E7A" w:rsidP="004053DB" w14:paraId="6214AC26" w14:textId="77777777">
      <w:pPr>
        <w:pStyle w:val="lead2"/>
        <w:shd w:val="clear" w:color="auto" w:fill="FFFFFF"/>
        <w:spacing w:before="0" w:beforeAutospacing="0" w:after="300" w:afterAutospacing="0" w:line="360" w:lineRule="atLeast"/>
        <w:rPr>
          <w:rFonts w:ascii="Montserrat" w:hAnsi="Montserrat" w:cs="Arial"/>
          <w:color w:val="0F243E" w:themeColor="text2" w:themeShade="80"/>
          <w:sz w:val="20"/>
          <w:szCs w:val="20"/>
          <w:lang w:val="en-US"/>
        </w:rPr>
      </w:pPr>
    </w:p>
    <w:p w:rsidR="00494A43" w:rsidRPr="00E36E7A" w:rsidP="00494A43" w14:paraId="42F8851F" w14:textId="77777777">
      <w:pPr>
        <w:pStyle w:val="lead2"/>
        <w:shd w:val="clear" w:color="auto" w:fill="FFFFFF"/>
        <w:bidi w:val="0"/>
        <w:spacing w:before="0" w:beforeAutospacing="0" w:after="300" w:afterAutospacing="0" w:line="360" w:lineRule="atLeast"/>
        <w:rPr>
          <w:rFonts w:ascii="Montserrat" w:hAnsi="Montserrat" w:cs="Arial"/>
          <w:color w:val="0F243E" w:themeColor="text2" w:themeShade="80"/>
          <w:sz w:val="22"/>
          <w:szCs w:val="22"/>
          <w:lang w:val="en-US"/>
        </w:rPr>
      </w:pPr>
      <w:r w:rsidRPr="00E36E7A">
        <w:rPr>
          <w:rFonts w:ascii="Montserrat" w:hAnsi="Montserrat"/>
          <w:noProof/>
          <w:color w:val="0F243E" w:themeColor="text2" w:themeShade="80"/>
          <w:lang w:eastAsia="zh-CN"/>
        </w:rPr>
        <w:drawing>
          <wp:inline distT="0" distB="0" distL="0" distR="0">
            <wp:extent cx="5596506" cy="2924175"/>
            <wp:effectExtent l="0" t="0" r="4445" b="0"/>
            <wp:docPr id="1" name="Picture 1" descr="Automatiser la gestion des processus et des ressources loc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transperfect.com/globallink/images/pd-boxes.png"/>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626059" cy="2939617"/>
                    </a:xfrm>
                    <a:prstGeom prst="rect">
                      <a:avLst/>
                    </a:prstGeom>
                    <a:noFill/>
                    <a:ln w="9525">
                      <a:noFill/>
                      <a:miter lim="800000"/>
                      <a:headEnd/>
                      <a:tailEnd/>
                    </a:ln>
                  </pic:spPr>
                </pic:pic>
              </a:graphicData>
            </a:graphic>
          </wp:inline>
        </w:drawing>
      </w:r>
    </w:p>
    <w:p w:rsidR="00494A43" w:rsidRPr="00E36E7A" w:rsidP="00494A43" w14:paraId="51837F0B" w14:textId="77777777">
      <w:pPr>
        <w:shd w:val="clear" w:color="auto" w:fill="FFFFFF"/>
        <w:spacing w:before="196" w:after="196" w:line="346" w:lineRule="atLeast"/>
        <w:ind w:left="708"/>
        <w:outlineLvl w:val="2"/>
        <w:rPr>
          <w:rFonts w:ascii="Montserrat" w:eastAsia="Times New Roman" w:hAnsi="Montserrat" w:cs="Arial"/>
          <w:color w:val="0F243E" w:themeColor="text2" w:themeShade="80"/>
          <w:sz w:val="32"/>
          <w:szCs w:val="32"/>
          <w:lang w:val="en-US" w:eastAsia="fr-FR"/>
        </w:rPr>
      </w:pPr>
    </w:p>
    <w:p w:rsidR="0064795F" w:rsidRPr="00E36E7A" w:rsidP="00E36E7A" w14:paraId="3CAD9D84" w14:textId="382BF01C">
      <w:pPr>
        <w:shd w:val="clear" w:color="auto" w:fill="FFFFFF"/>
        <w:bidi w:val="0"/>
        <w:spacing w:before="196" w:after="196" w:line="346" w:lineRule="atLeast"/>
        <w:outlineLvl w:val="2"/>
        <w:rPr>
          <w:rFonts w:ascii="Montserrat" w:eastAsia="Times New Roman" w:hAnsi="Montserrat" w:cs="Arial"/>
          <w:color w:val="0070C0"/>
          <w:sz w:val="32"/>
          <w:szCs w:val="32"/>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070C0"/>
          <w:spacing w:val="0"/>
          <w:w w:val="100"/>
          <w:kern w:val="0"/>
          <w:position w:val="0"/>
          <w:sz w:val="32"/>
          <w:szCs w:val="32"/>
          <w:highlight w:val="none"/>
          <w:u w:val="none" w:color="auto"/>
          <w:bdr w:val="none" w:sz="0" w:space="0" w:color="auto"/>
          <w:shd w:val="clear" w:color="auto" w:fill="auto"/>
          <w:vertAlign w:val="baseline"/>
          <w:rtl w:val="0"/>
          <w:cs w:val="0"/>
          <w:lang w:val="fr-FR" w:eastAsia="fr-FR" w:bidi="ar-SA"/>
        </w:rPr>
        <w:t>Avantages déterminants</w:t>
      </w:r>
    </w:p>
    <w:p w:rsidR="00E36E7A" w:rsidRPr="00E36E7A" w:rsidP="00E36E7A" w14:paraId="0C170A8F"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INTÉGRATION TRANSPARENTE DE LA BASE DE DONNÉES</w:t>
      </w:r>
    </w:p>
    <w:p w:rsidR="00E36E7A" w:rsidRPr="00E36E7A" w:rsidP="00E36E7A" w14:paraId="6AFCC140" w14:textId="341BFD61">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Corannecteurs GlobalLink pour toutes les plateformes CMS, PIM, CCMS, Marketing ou e-commerce courantes</w:t>
      </w:r>
    </w:p>
    <w:p w:rsidR="00E36E7A" w:rsidRPr="00E36E7A" w:rsidP="00E36E7A" w14:paraId="7D8EA204"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PLATEFORME MULTI-FOURNISSEUR</w:t>
      </w:r>
    </w:p>
    <w:p w:rsidR="00E36E7A" w:rsidRPr="00E36E7A" w:rsidP="00E36E7A" w14:paraId="63EA77B3" w14:textId="77777777">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Permet d’ultiser toutegra combinaison de fournisseurs ou traducteurs internes pour une flexibilité maximale des ressources</w:t>
      </w:r>
    </w:p>
    <w:p w:rsidR="00E36E7A" w:rsidRPr="00E36E7A" w:rsidP="00E36E7A" w14:paraId="34FEFECC"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FORMATS DE FICHIER</w:t>
      </w:r>
    </w:p>
    <w:p w:rsidR="00E36E7A" w:rsidRPr="00E36E7A" w:rsidP="00E36E7A" w14:paraId="358199BF" w14:textId="77777777">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Les processeurs configurables permettent d’extraire le contenu et de préparer les fichiers automatiquements</w:t>
      </w:r>
    </w:p>
    <w:p w:rsidR="00E36E7A" w:rsidRPr="00E36E7A" w:rsidP="00E36E7A" w14:paraId="47F412B9"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PROCESSUS CONFIGURABLES</w:t>
      </w: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 xml:space="preserve"> </w:t>
      </w:r>
    </w:p>
    <w:p w:rsidR="00E36E7A" w:rsidRPr="00E36E7A" w:rsidP="00E36E7A" w14:paraId="797F10FB" w14:textId="77777777">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Elimination des tâches manuelles et délais de gestion des projets grâce aux workflows dynamiques</w:t>
      </w:r>
    </w:p>
    <w:p w:rsidR="00E36E7A" w:rsidRPr="00E36E7A" w:rsidP="00E36E7A" w14:paraId="1ABB5BDB"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CENTRALISATION DES MÉMOIRES DE TRADUCTION</w:t>
      </w:r>
    </w:p>
    <w:p w:rsidR="00E36E7A" w:rsidRPr="00E36E7A" w:rsidP="00E36E7A" w14:paraId="20BF9EFA" w14:textId="77777777">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Permet de maintenir la cohérence de la marque et économiser sur les traductions répétées</w:t>
      </w:r>
    </w:p>
    <w:p w:rsidR="00E36E7A" w:rsidRPr="00E36E7A" w:rsidP="00E36E7A" w14:paraId="72429C0F"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RAPPORTS D’ENTREPRISE</w:t>
      </w:r>
    </w:p>
    <w:p w:rsidR="00E36E7A" w:rsidRPr="00E36E7A" w:rsidP="00E36E7A" w14:paraId="0069D0FB" w14:textId="77777777">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Visualisez pratiquement n'importe quel ensemble de points de données en temps réel pour évaluer l'efficacité de la traduction</w:t>
      </w:r>
    </w:p>
    <w:p w:rsidR="00E36E7A" w:rsidRPr="00E36E7A" w:rsidP="00E36E7A" w14:paraId="7682E574"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TABLEAU DE BORD UNIFIÉ</w:t>
      </w:r>
    </w:p>
    <w:p w:rsidR="00E36E7A" w:rsidRPr="00E36E7A" w:rsidP="00E36E7A" w14:paraId="16A97CCB" w14:textId="77777777">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Suivez tous les projets en temps réel dans toute l'entreprise afin de ne jamais manquer une échéance</w:t>
      </w:r>
    </w:p>
    <w:p w:rsidR="00E36E7A" w:rsidRPr="00E36E7A" w:rsidP="00E36E7A" w14:paraId="7F253DF3"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MODÈLES DE DÉPLOIEMENT FLEXIBLES</w:t>
      </w: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 xml:space="preserve"> </w:t>
      </w:r>
    </w:p>
    <w:p w:rsidR="00494A43" w:rsidRPr="00E36E7A" w:rsidP="00E36E7A" w14:paraId="436CCFC4" w14:textId="25C45629">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Installer sur site ou déployer dans le cloud sans sacrifier la fonctionnalité</w:t>
      </w:r>
    </w:p>
    <w:sectPr w:rsidSect="006708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Montserrat"/>
    <w:charset w:val="00"/>
    <w:family w:val="auto"/>
    <w:pitch w:val="variable"/>
    <w:sig w:usb0="2000020F" w:usb1="00000003" w:usb2="00000000" w:usb3="00000000" w:csb0="00000197"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1A2C17" w:rsidP="009227E1" w14:paraId="24006798" w14:textId="77777777">
      <w:pPr>
        <w:spacing w:after="0" w:line="240" w:lineRule="auto"/>
      </w:pPr>
      <w:r>
        <w:separator/>
      </w:r>
    </w:p>
  </w:footnote>
  <w:footnote w:type="continuationSeparator" w:id="1">
    <w:p w:rsidR="001A2C17" w:rsidP="009227E1" w14:paraId="270C521C" w14:textId="77777777">
      <w:pPr>
        <w:spacing w:after="0" w:line="240" w:lineRule="auto"/>
      </w:pPr>
      <w:r>
        <w:continuationSeparator/>
      </w:r>
    </w:p>
  </w:footnote>
  <w:footnote w:id="2">
    <w:p w:rsidR="00EC7E28" w:rsidRPr="00521EED" w14:paraId="4AEBA779" w14:textId="77777777">
      <w:pPr>
        <w:pStyle w:val="FootnoteText"/>
        <w:bidi w:val="0"/>
        <w:rPr>
          <w:color w:val="404040" w:themeColor="text1" w:themeTint="BF"/>
          <w:sz w:val="14"/>
          <w:lang w:val="en-US"/>
        </w:rPr>
      </w:pPr>
      <w:r>
        <w:rPr>
          <w:rStyle w:val="FootnoteReference"/>
        </w:rPr>
        <w:footnoteRef/>
      </w:r>
      <w:r>
        <w:rPr>
          <w:rStyle w:val="DefaultParagraphFont"/>
          <w:rFonts w:ascii="Calibri" w:eastAsia="Calibri" w:hAnsi="Calibri" w:cs="Arial"/>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Arial"/>
          <w:b w:val="0"/>
          <w:bCs w:val="0"/>
          <w:i w:val="0"/>
          <w:iCs w:val="0"/>
          <w:caps w:val="0"/>
          <w:smallCaps w:val="0"/>
          <w:strike w:val="0"/>
          <w:dstrike w:val="0"/>
          <w:outline w:val="0"/>
          <w:shadow w:val="0"/>
          <w:emboss w:val="0"/>
          <w:imprint w:val="0"/>
          <w:noProof w:val="0"/>
          <w:vanish w:val="0"/>
          <w:color w:val="404040"/>
          <w:spacing w:val="0"/>
          <w:w w:val="100"/>
          <w:kern w:val="0"/>
          <w:position w:val="0"/>
          <w:sz w:val="20"/>
          <w:szCs w:val="20"/>
          <w:highlight w:val="none"/>
          <w:u w:val="none" w:color="auto"/>
          <w:bdr w:val="none" w:sz="0" w:space="0" w:color="auto"/>
          <w:shd w:val="clear" w:color="auto" w:fill="auto"/>
          <w:vertAlign w:val="baseline"/>
          <w:rtl w:val="0"/>
          <w:cs w:val="0"/>
          <w:lang w:val="fr-FR" w:eastAsia="en-US" w:bidi="ar-SA"/>
        </w:rPr>
        <w:t>Automatiser la gestion des processus et des ressources localisation.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6C26C1D"/>
    <w:multiLevelType w:val="hybridMultilevel"/>
    <w:tmpl w:val="B8E496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95F"/>
    <w:rsid w:val="000114AB"/>
    <w:rsid w:val="000472FE"/>
    <w:rsid w:val="00062198"/>
    <w:rsid w:val="00067983"/>
    <w:rsid w:val="00067BEC"/>
    <w:rsid w:val="00074A5D"/>
    <w:rsid w:val="00080499"/>
    <w:rsid w:val="00085AF3"/>
    <w:rsid w:val="00091687"/>
    <w:rsid w:val="00096E77"/>
    <w:rsid w:val="000A3670"/>
    <w:rsid w:val="000B628C"/>
    <w:rsid w:val="000B7011"/>
    <w:rsid w:val="000C49FA"/>
    <w:rsid w:val="000D4808"/>
    <w:rsid w:val="000E14D6"/>
    <w:rsid w:val="000F771F"/>
    <w:rsid w:val="00101196"/>
    <w:rsid w:val="0010390E"/>
    <w:rsid w:val="0010736A"/>
    <w:rsid w:val="00132609"/>
    <w:rsid w:val="00142DED"/>
    <w:rsid w:val="001454F8"/>
    <w:rsid w:val="001518DC"/>
    <w:rsid w:val="00153A9A"/>
    <w:rsid w:val="001634DA"/>
    <w:rsid w:val="00165803"/>
    <w:rsid w:val="00166FCF"/>
    <w:rsid w:val="0017110C"/>
    <w:rsid w:val="00172752"/>
    <w:rsid w:val="001A0744"/>
    <w:rsid w:val="001A2C17"/>
    <w:rsid w:val="001B357B"/>
    <w:rsid w:val="001C377C"/>
    <w:rsid w:val="001D3BFD"/>
    <w:rsid w:val="001D7963"/>
    <w:rsid w:val="001E10A3"/>
    <w:rsid w:val="001E1A49"/>
    <w:rsid w:val="001F0ADA"/>
    <w:rsid w:val="001F5D0A"/>
    <w:rsid w:val="00202C25"/>
    <w:rsid w:val="00214562"/>
    <w:rsid w:val="00217E77"/>
    <w:rsid w:val="00224667"/>
    <w:rsid w:val="00236228"/>
    <w:rsid w:val="00256B51"/>
    <w:rsid w:val="00260EDD"/>
    <w:rsid w:val="00281907"/>
    <w:rsid w:val="00295C8B"/>
    <w:rsid w:val="002E22C9"/>
    <w:rsid w:val="002E28C1"/>
    <w:rsid w:val="002E7976"/>
    <w:rsid w:val="002F26ED"/>
    <w:rsid w:val="002F6898"/>
    <w:rsid w:val="00305D43"/>
    <w:rsid w:val="003103FA"/>
    <w:rsid w:val="0033304D"/>
    <w:rsid w:val="00334C96"/>
    <w:rsid w:val="00336D1F"/>
    <w:rsid w:val="0034158D"/>
    <w:rsid w:val="00347D2E"/>
    <w:rsid w:val="00370C81"/>
    <w:rsid w:val="00372C9E"/>
    <w:rsid w:val="00377DF8"/>
    <w:rsid w:val="00383B09"/>
    <w:rsid w:val="003936BB"/>
    <w:rsid w:val="003A315C"/>
    <w:rsid w:val="003A4A99"/>
    <w:rsid w:val="003A57D9"/>
    <w:rsid w:val="003A73E0"/>
    <w:rsid w:val="003B1C02"/>
    <w:rsid w:val="003C498A"/>
    <w:rsid w:val="003F05A8"/>
    <w:rsid w:val="004053DB"/>
    <w:rsid w:val="00407014"/>
    <w:rsid w:val="0041293A"/>
    <w:rsid w:val="00435931"/>
    <w:rsid w:val="00435E2E"/>
    <w:rsid w:val="00441916"/>
    <w:rsid w:val="00471286"/>
    <w:rsid w:val="0048114E"/>
    <w:rsid w:val="00494A43"/>
    <w:rsid w:val="004E0EE0"/>
    <w:rsid w:val="00521EED"/>
    <w:rsid w:val="00521FA4"/>
    <w:rsid w:val="005229D2"/>
    <w:rsid w:val="00534318"/>
    <w:rsid w:val="005456A5"/>
    <w:rsid w:val="00555C96"/>
    <w:rsid w:val="005649EA"/>
    <w:rsid w:val="00565935"/>
    <w:rsid w:val="005725E4"/>
    <w:rsid w:val="00574915"/>
    <w:rsid w:val="00575122"/>
    <w:rsid w:val="005D7ACA"/>
    <w:rsid w:val="005E73BD"/>
    <w:rsid w:val="005F02A3"/>
    <w:rsid w:val="005F6CC7"/>
    <w:rsid w:val="00612AE4"/>
    <w:rsid w:val="00627F09"/>
    <w:rsid w:val="006354F0"/>
    <w:rsid w:val="0064795F"/>
    <w:rsid w:val="00650087"/>
    <w:rsid w:val="006551A1"/>
    <w:rsid w:val="00656001"/>
    <w:rsid w:val="006620C3"/>
    <w:rsid w:val="00670894"/>
    <w:rsid w:val="00681F41"/>
    <w:rsid w:val="00683130"/>
    <w:rsid w:val="006A58A4"/>
    <w:rsid w:val="006B357A"/>
    <w:rsid w:val="006B5D0A"/>
    <w:rsid w:val="00713661"/>
    <w:rsid w:val="00737E4F"/>
    <w:rsid w:val="0074464C"/>
    <w:rsid w:val="00744903"/>
    <w:rsid w:val="0075765C"/>
    <w:rsid w:val="00762F79"/>
    <w:rsid w:val="00785C6D"/>
    <w:rsid w:val="00787D84"/>
    <w:rsid w:val="00791D74"/>
    <w:rsid w:val="0079253B"/>
    <w:rsid w:val="007A3CBB"/>
    <w:rsid w:val="007A43CB"/>
    <w:rsid w:val="007B142B"/>
    <w:rsid w:val="007D09C5"/>
    <w:rsid w:val="007F12B7"/>
    <w:rsid w:val="00805E1D"/>
    <w:rsid w:val="008256AF"/>
    <w:rsid w:val="00826F09"/>
    <w:rsid w:val="00831CB4"/>
    <w:rsid w:val="00843C7A"/>
    <w:rsid w:val="008445D6"/>
    <w:rsid w:val="00880703"/>
    <w:rsid w:val="00892B1A"/>
    <w:rsid w:val="008C3FF3"/>
    <w:rsid w:val="008C5F37"/>
    <w:rsid w:val="008E269F"/>
    <w:rsid w:val="008F2F28"/>
    <w:rsid w:val="009227E1"/>
    <w:rsid w:val="00923DC7"/>
    <w:rsid w:val="00932404"/>
    <w:rsid w:val="00933D11"/>
    <w:rsid w:val="0093480F"/>
    <w:rsid w:val="00936A2D"/>
    <w:rsid w:val="00940107"/>
    <w:rsid w:val="00941E16"/>
    <w:rsid w:val="00951542"/>
    <w:rsid w:val="009638BC"/>
    <w:rsid w:val="00963DB1"/>
    <w:rsid w:val="00982E6F"/>
    <w:rsid w:val="009903F2"/>
    <w:rsid w:val="00993B45"/>
    <w:rsid w:val="009A0C10"/>
    <w:rsid w:val="009A4FEA"/>
    <w:rsid w:val="009A5DAF"/>
    <w:rsid w:val="009A750B"/>
    <w:rsid w:val="009C3246"/>
    <w:rsid w:val="009E1CF3"/>
    <w:rsid w:val="009F642A"/>
    <w:rsid w:val="00A074FD"/>
    <w:rsid w:val="00A478DE"/>
    <w:rsid w:val="00A96627"/>
    <w:rsid w:val="00A96701"/>
    <w:rsid w:val="00AE3656"/>
    <w:rsid w:val="00AF2A24"/>
    <w:rsid w:val="00B2179D"/>
    <w:rsid w:val="00B21922"/>
    <w:rsid w:val="00B23181"/>
    <w:rsid w:val="00B44133"/>
    <w:rsid w:val="00B95A26"/>
    <w:rsid w:val="00BE65D1"/>
    <w:rsid w:val="00BE7220"/>
    <w:rsid w:val="00BF7249"/>
    <w:rsid w:val="00C031A1"/>
    <w:rsid w:val="00C15BD9"/>
    <w:rsid w:val="00C448A8"/>
    <w:rsid w:val="00C745E4"/>
    <w:rsid w:val="00C847CD"/>
    <w:rsid w:val="00C92F03"/>
    <w:rsid w:val="00C96C95"/>
    <w:rsid w:val="00CB0283"/>
    <w:rsid w:val="00CB035A"/>
    <w:rsid w:val="00CB5195"/>
    <w:rsid w:val="00CB68AA"/>
    <w:rsid w:val="00CC455C"/>
    <w:rsid w:val="00CD6295"/>
    <w:rsid w:val="00CD7B49"/>
    <w:rsid w:val="00CE26AE"/>
    <w:rsid w:val="00D03E4B"/>
    <w:rsid w:val="00D16C95"/>
    <w:rsid w:val="00D2203B"/>
    <w:rsid w:val="00D41755"/>
    <w:rsid w:val="00D55290"/>
    <w:rsid w:val="00D76BE6"/>
    <w:rsid w:val="00D831F5"/>
    <w:rsid w:val="00D92B99"/>
    <w:rsid w:val="00DA37F6"/>
    <w:rsid w:val="00DA4CE0"/>
    <w:rsid w:val="00DB7961"/>
    <w:rsid w:val="00DC200A"/>
    <w:rsid w:val="00DC4242"/>
    <w:rsid w:val="00DD66EF"/>
    <w:rsid w:val="00E11518"/>
    <w:rsid w:val="00E36E7A"/>
    <w:rsid w:val="00E54379"/>
    <w:rsid w:val="00E566A4"/>
    <w:rsid w:val="00E704B5"/>
    <w:rsid w:val="00EA32F7"/>
    <w:rsid w:val="00EA72B7"/>
    <w:rsid w:val="00EC6F04"/>
    <w:rsid w:val="00EC70C5"/>
    <w:rsid w:val="00EC7E28"/>
    <w:rsid w:val="00ED17F2"/>
    <w:rsid w:val="00F0496E"/>
    <w:rsid w:val="00F12E9C"/>
    <w:rsid w:val="00F23F05"/>
    <w:rsid w:val="00F532A2"/>
    <w:rsid w:val="00F71966"/>
    <w:rsid w:val="00FB1D8B"/>
    <w:rsid w:val="00FB3D94"/>
    <w:rsid w:val="00FB6C2A"/>
    <w:rsid w:val="00FC152F"/>
    <w:rsid w:val="00FD7F5C"/>
    <w:rsid w:val="00FE0B9F"/>
    <w:rsid w:val="00FE416F"/>
    <w:rsid w:val="00FE4625"/>
    <w:rsid w:val="00FE5AC0"/>
    <w:rsid w:val="00FE644E"/>
  </w:rsids>
  <m:mathPr>
    <m:mathFont m:val="Cambria Math"/>
  </m:mathPr>
  <w:themeFontLang w:val="fr-FR" w:eastAsia="zh-TW" w:bidi="ar-SA"/>
  <w:clrSchemeMapping w:bg1="light1" w:t1="dark1" w:bg2="light2" w:t2="dark2" w:accent1="accent1" w:accent2="accent2" w:accent3="accent3" w:accent4="accent4" w:accent5="accent5" w:accent6="accent6" w:hyperlink="hyperlink" w:followedHyperlink="followedHyperlink"/>
  <w14:docId w14:val="224BEF5F"/>
  <w15:docId w15:val="{798BEFFE-8856-4548-BB7E-E529F4CA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894"/>
  </w:style>
  <w:style w:type="paragraph" w:styleId="Heading2">
    <w:name w:val="heading 2"/>
    <w:basedOn w:val="Normal"/>
    <w:link w:val="Heading2Char"/>
    <w:uiPriority w:val="9"/>
    <w:qFormat/>
    <w:rsid w:val="0064795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64795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95F"/>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64795F"/>
    <w:rPr>
      <w:rFonts w:ascii="Times New Roman" w:eastAsia="Times New Roman" w:hAnsi="Times New Roman" w:cs="Times New Roman"/>
      <w:b/>
      <w:bCs/>
      <w:sz w:val="27"/>
      <w:szCs w:val="27"/>
      <w:lang w:eastAsia="fr-FR"/>
    </w:rPr>
  </w:style>
  <w:style w:type="paragraph" w:customStyle="1" w:styleId="lead2">
    <w:name w:val="lead2"/>
    <w:basedOn w:val="Normal"/>
    <w:rsid w:val="006479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64795F"/>
    <w:rPr>
      <w:color w:val="0000FF"/>
      <w:u w:val="single"/>
    </w:rPr>
  </w:style>
  <w:style w:type="character" w:customStyle="1" w:styleId="apple-converted-space">
    <w:name w:val="apple-converted-space"/>
    <w:basedOn w:val="DefaultParagraphFont"/>
    <w:rsid w:val="0064795F"/>
  </w:style>
  <w:style w:type="paragraph" w:styleId="NormalWeb">
    <w:name w:val="Normal (Web)"/>
    <w:basedOn w:val="Normal"/>
    <w:uiPriority w:val="99"/>
    <w:semiHidden/>
    <w:unhideWhenUsed/>
    <w:rsid w:val="0064795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64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95F"/>
    <w:rPr>
      <w:rFonts w:ascii="Tahoma" w:hAnsi="Tahoma" w:cs="Tahoma"/>
      <w:sz w:val="16"/>
      <w:szCs w:val="16"/>
    </w:rPr>
  </w:style>
  <w:style w:type="paragraph" w:styleId="Caption">
    <w:name w:val="caption"/>
    <w:basedOn w:val="Normal"/>
    <w:next w:val="Normal"/>
    <w:uiPriority w:val="35"/>
    <w:unhideWhenUsed/>
    <w:qFormat/>
    <w:rsid w:val="0064795F"/>
    <w:pPr>
      <w:spacing w:line="240" w:lineRule="auto"/>
    </w:pPr>
    <w:rPr>
      <w:b/>
      <w:bCs/>
      <w:color w:val="4F81BD" w:themeColor="accent1"/>
      <w:sz w:val="18"/>
      <w:szCs w:val="18"/>
    </w:rPr>
  </w:style>
  <w:style w:type="paragraph" w:styleId="Header">
    <w:name w:val="header"/>
    <w:basedOn w:val="Normal"/>
    <w:link w:val="HeaderChar"/>
    <w:uiPriority w:val="99"/>
    <w:unhideWhenUsed/>
    <w:rsid w:val="00922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7E1"/>
  </w:style>
  <w:style w:type="paragraph" w:styleId="Footer">
    <w:name w:val="footer"/>
    <w:basedOn w:val="Normal"/>
    <w:link w:val="FooterChar"/>
    <w:uiPriority w:val="99"/>
    <w:unhideWhenUsed/>
    <w:rsid w:val="00922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7E1"/>
  </w:style>
  <w:style w:type="paragraph" w:styleId="FootnoteText">
    <w:name w:val="footnote text"/>
    <w:basedOn w:val="Normal"/>
    <w:link w:val="FootnoteTextChar"/>
    <w:uiPriority w:val="99"/>
    <w:semiHidden/>
    <w:unhideWhenUsed/>
    <w:rsid w:val="00EC7E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E28"/>
    <w:rPr>
      <w:sz w:val="20"/>
      <w:szCs w:val="20"/>
    </w:rPr>
  </w:style>
  <w:style w:type="character" w:styleId="FootnoteReference">
    <w:name w:val="footnote reference"/>
    <w:basedOn w:val="DefaultParagraphFont"/>
    <w:uiPriority w:val="99"/>
    <w:semiHidden/>
    <w:unhideWhenUsed/>
    <w:rsid w:val="00EC7E28"/>
    <w:rPr>
      <w:vertAlign w:val="superscript"/>
    </w:rPr>
  </w:style>
  <w:style w:type="paragraph" w:styleId="ListParagraph">
    <w:name w:val="List Paragraph"/>
    <w:basedOn w:val="Normal"/>
    <w:uiPriority w:val="34"/>
    <w:qFormat/>
    <w:rsid w:val="00E36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ustomXml" Target="../customXml/item1.xm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5E8BE-3C77-4D38-BF59-7680BA13E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TransPerfect Translations</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dc:creator>
  <cp:lastModifiedBy>Ingrid Allsop</cp:lastModifiedBy>
  <cp:revision>4</cp:revision>
  <dcterms:created xsi:type="dcterms:W3CDTF">2024-12-12T10:04:00Z</dcterms:created>
  <dcterms:modified xsi:type="dcterms:W3CDTF">2025-06-26T16:41:00Z</dcterms:modified>
</cp:coreProperties>
</file>