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93E68" w14:textId="5EE02BC3" w:rsidR="009F07D6" w:rsidRDefault="00023610">
      <w:pPr>
        <w:pStyle w:val="Ttulo1"/>
      </w:pPr>
      <w:bookmarkStart w:id="0" w:name="X8344ac297a143d7c8ae1981b94a5231441bb44c"/>
      <w:r>
        <w:t>Análise de Insights e KPIs</w:t>
      </w:r>
      <w:bookmarkEnd w:id="0"/>
    </w:p>
    <w:p w14:paraId="186BF0D4" w14:textId="77777777" w:rsidR="009F07D6" w:rsidRDefault="00023610">
      <w:pPr>
        <w:pStyle w:val="FirstParagraph"/>
      </w:pPr>
      <w:r>
        <w:t xml:space="preserve">Este relatório apresenta uma análise aprofundada dos dados contidos no arquivo </w:t>
      </w:r>
      <w:r>
        <w:rPr>
          <w:rStyle w:val="VerbatimChar"/>
        </w:rPr>
        <w:t>tabela_final.csv</w:t>
      </w:r>
      <w:r>
        <w:t>, com foco na identificação de insights e tendências por meio de Key Performance Indicators (KPIs) previamente definidos. A análise abrange uma visão geral do desempenho, comparações entre municípios, variações temporais (mensal e anual) e uma análise deta</w:t>
      </w:r>
      <w:r>
        <w:t>lhada do valor agregado por item.</w:t>
      </w:r>
    </w:p>
    <w:p w14:paraId="0002AEB7" w14:textId="77777777" w:rsidR="009F07D6" w:rsidRDefault="00023610">
      <w:pPr>
        <w:pStyle w:val="Ttulo2"/>
      </w:pPr>
      <w:bookmarkStart w:id="1" w:name="visão-geral-dos-dados"/>
      <w:r>
        <w:t>Visão Geral dos Dados</w:t>
      </w:r>
      <w:bookmarkEnd w:id="1"/>
    </w:p>
    <w:p w14:paraId="01F550B7" w14:textId="77777777" w:rsidR="009F07D6" w:rsidRDefault="00023610">
      <w:pPr>
        <w:pStyle w:val="FirstParagraph"/>
      </w:pPr>
      <w:r>
        <w:t xml:space="preserve">O arquivo </w:t>
      </w:r>
      <w:r>
        <w:rPr>
          <w:rStyle w:val="VerbatimChar"/>
        </w:rPr>
        <w:t>tabela_final.csv</w:t>
      </w:r>
      <w:r>
        <w:t xml:space="preserve"> contém dados transacionais que incluem informações como ano, mês, código SH4 (Nomenclatura Comum do Mercosul), país, município, peso líquido (KG_LIQUIDO) e valor FOB (VL_FOB</w:t>
      </w:r>
      <w:r>
        <w:t>). A base de dados é robusta, com 951.557 entradas, indicando um volume significativo de transações a serem analisadas.</w:t>
      </w:r>
    </w:p>
    <w:p w14:paraId="3B2632BB" w14:textId="77777777" w:rsidR="009F07D6" w:rsidRDefault="00023610">
      <w:pPr>
        <w:pStyle w:val="Corpodetexto"/>
      </w:pPr>
      <w:r>
        <w:t>Para uma compreensão macro do conjunto de dados, foram calculados os seguintes KPIs de visão geral:</w:t>
      </w:r>
    </w:p>
    <w:p w14:paraId="437504BA" w14:textId="7B7D28AA" w:rsidR="009F07D6" w:rsidRDefault="00023610">
      <w:pPr>
        <w:pStyle w:val="Compact"/>
        <w:numPr>
          <w:ilvl w:val="0"/>
          <w:numId w:val="2"/>
        </w:numPr>
      </w:pPr>
      <w:r>
        <w:rPr>
          <w:b/>
        </w:rPr>
        <w:t>Valor Total FOB (VL_FOB):</w:t>
      </w:r>
      <w:r>
        <w:t xml:space="preserve"> O valor to</w:t>
      </w:r>
      <w:r>
        <w:t xml:space="preserve">tal das transações registradas é de </w:t>
      </w:r>
      <w:r w:rsidR="00BD7B98" w:rsidRPr="00BD7B98">
        <w:rPr>
          <w:b/>
        </w:rPr>
        <w:t>US$1</w:t>
      </w:r>
      <w:r>
        <w:rPr>
          <w:b/>
        </w:rPr>
        <w:t>5</w:t>
      </w:r>
      <w:r>
        <w:rPr>
          <w:b/>
        </w:rPr>
        <w:t>2.126.144.71</w:t>
      </w:r>
      <w:r w:rsidR="00BD7B98">
        <w:rPr>
          <w:b/>
        </w:rPr>
        <w:t>2,00</w:t>
      </w:r>
      <w:r>
        <w:t>. Este número representa o montante financeiro global movimentado no período analisado.</w:t>
      </w:r>
    </w:p>
    <w:p w14:paraId="7B432E4E" w14:textId="77777777" w:rsidR="009F07D6" w:rsidRDefault="00023610">
      <w:pPr>
        <w:pStyle w:val="Compact"/>
        <w:numPr>
          <w:ilvl w:val="0"/>
          <w:numId w:val="2"/>
        </w:numPr>
      </w:pPr>
      <w:r>
        <w:rPr>
          <w:b/>
        </w:rPr>
        <w:t>Peso Líquido Total (KG_LIQUIDO):</w:t>
      </w:r>
      <w:r>
        <w:t xml:space="preserve"> O volume total de produtos transacionados, em quilogramas, é de </w:t>
      </w:r>
      <w:r>
        <w:rPr>
          <w:b/>
        </w:rPr>
        <w:t>142.284.207.330</w:t>
      </w:r>
      <w:r>
        <w:t>. Est</w:t>
      </w:r>
      <w:r>
        <w:t>e KPI reflete a quantidade física de bens comercializados.</w:t>
      </w:r>
    </w:p>
    <w:p w14:paraId="5B546543" w14:textId="77777777" w:rsidR="009F07D6" w:rsidRDefault="00023610">
      <w:pPr>
        <w:pStyle w:val="Compact"/>
        <w:numPr>
          <w:ilvl w:val="0"/>
          <w:numId w:val="2"/>
        </w:numPr>
      </w:pPr>
      <w:r>
        <w:rPr>
          <w:b/>
        </w:rPr>
        <w:t>Valor Médio por KG:</w:t>
      </w:r>
      <w:r>
        <w:t xml:space="preserve"> A relação entre o valor total e o peso total, que indica o valor médio por quilograma de produto, é de </w:t>
      </w:r>
      <w:r>
        <w:rPr>
          <w:b/>
        </w:rPr>
        <w:t>1.07</w:t>
      </w:r>
      <w:r>
        <w:t>. Este KPI é um primeiro indicativo do valor agregado geral dos produt</w:t>
      </w:r>
      <w:r>
        <w:t>os na base de dados.</w:t>
      </w:r>
    </w:p>
    <w:p w14:paraId="4FBDB027" w14:textId="77777777" w:rsidR="009F07D6" w:rsidRDefault="00023610">
      <w:pPr>
        <w:pStyle w:val="FirstParagraph"/>
      </w:pPr>
      <w:r>
        <w:t>Esses números fornecem um ponto de partida essencial para entender a magnitude das operações e a relação entre o valor financeiro e o volume físico das transações.</w:t>
      </w:r>
    </w:p>
    <w:p w14:paraId="3B1BA8D3" w14:textId="77777777" w:rsidR="009F07D6" w:rsidRDefault="00023610">
      <w:pPr>
        <w:pStyle w:val="Ttulo2"/>
      </w:pPr>
      <w:bookmarkStart w:id="2" w:name="comparação-entre-municípios"/>
      <w:r>
        <w:t>Comparação entre Municípios</w:t>
      </w:r>
      <w:bookmarkEnd w:id="2"/>
    </w:p>
    <w:p w14:paraId="2F288CA2" w14:textId="48FCB8AE" w:rsidR="00BD7B98" w:rsidRDefault="00023610">
      <w:pPr>
        <w:pStyle w:val="FirstParagraph"/>
      </w:pPr>
      <w:r>
        <w:t>A análise por município revela as localidad</w:t>
      </w:r>
      <w:r>
        <w:t xml:space="preserve">es com maior impacto nas transações, tanto em termos financeiros quanto de volume, e também destaca a qualidade do valor agregado por quilograma. Os KPIs utilizados para esta comparação são o </w:t>
      </w:r>
      <w:r>
        <w:rPr>
          <w:rStyle w:val="VerbatimChar"/>
        </w:rPr>
        <w:t>Total VL_FOB</w:t>
      </w:r>
      <w:r>
        <w:t xml:space="preserve">, </w:t>
      </w:r>
      <w:r>
        <w:rPr>
          <w:rStyle w:val="VerbatimChar"/>
        </w:rPr>
        <w:t>Total KG_LIQUIDO</w:t>
      </w:r>
      <w:r>
        <w:t xml:space="preserve"> e </w:t>
      </w:r>
      <w:r>
        <w:rPr>
          <w:rStyle w:val="VerbatimChar"/>
        </w:rPr>
        <w:t>Valor_por_KG</w:t>
      </w:r>
      <w:r>
        <w:t xml:space="preserve"> (Valor Médio por K</w:t>
      </w:r>
      <w:r>
        <w:t>G).</w:t>
      </w:r>
    </w:p>
    <w:p w14:paraId="2245B9F6" w14:textId="77777777" w:rsidR="00BD7B98" w:rsidRDefault="00BD7B98">
      <w:r>
        <w:br w:type="page"/>
      </w:r>
    </w:p>
    <w:p w14:paraId="41A7DE7F" w14:textId="77777777" w:rsidR="009F07D6" w:rsidRDefault="00023610">
      <w:pPr>
        <w:pStyle w:val="Ttulo3"/>
      </w:pPr>
      <w:bookmarkStart w:id="3" w:name="municípios-com-maior-valor-fob"/>
      <w:r>
        <w:lastRenderedPageBreak/>
        <w:t>Municípios com Maior Valor FOB</w:t>
      </w:r>
      <w:bookmarkEnd w:id="3"/>
    </w:p>
    <w:p w14:paraId="600F7817" w14:textId="77777777" w:rsidR="009F07D6" w:rsidRDefault="00023610">
      <w:pPr>
        <w:pStyle w:val="FirstParagraph"/>
      </w:pPr>
      <w:r>
        <w:t xml:space="preserve">Os municípios que se destacam pelo maior </w:t>
      </w:r>
      <w:r>
        <w:rPr>
          <w:rStyle w:val="VerbatimChar"/>
        </w:rPr>
        <w:t>Total VL_FOB</w:t>
      </w:r>
      <w:r>
        <w:t xml:space="preserve"> são:</w:t>
      </w:r>
    </w:p>
    <w:tbl>
      <w:tblPr>
        <w:tblStyle w:val="Table"/>
        <w:tblW w:w="0" w:type="pct"/>
        <w:tblLook w:val="07E0" w:firstRow="1" w:lastRow="1" w:firstColumn="1" w:lastColumn="1" w:noHBand="1" w:noVBand="1"/>
      </w:tblPr>
      <w:tblGrid>
        <w:gridCol w:w="3101"/>
        <w:gridCol w:w="1678"/>
      </w:tblGrid>
      <w:tr w:rsidR="009F07D6" w14:paraId="6891C87F" w14:textId="77777777">
        <w:tc>
          <w:tcPr>
            <w:tcW w:w="0" w:type="auto"/>
            <w:tcBorders>
              <w:bottom w:val="single" w:sz="0" w:space="0" w:color="auto"/>
            </w:tcBorders>
            <w:vAlign w:val="bottom"/>
          </w:tcPr>
          <w:p w14:paraId="4C7EEEE9" w14:textId="77777777" w:rsidR="009F07D6" w:rsidRDefault="00023610">
            <w:pPr>
              <w:pStyle w:val="Compact"/>
            </w:pPr>
            <w:r>
              <w:t>NO_MUN</w:t>
            </w:r>
          </w:p>
        </w:tc>
        <w:tc>
          <w:tcPr>
            <w:tcW w:w="0" w:type="auto"/>
            <w:tcBorders>
              <w:bottom w:val="single" w:sz="0" w:space="0" w:color="auto"/>
            </w:tcBorders>
            <w:vAlign w:val="bottom"/>
          </w:tcPr>
          <w:p w14:paraId="3CA03158" w14:textId="77777777" w:rsidR="009F07D6" w:rsidRDefault="00023610">
            <w:pPr>
              <w:pStyle w:val="Compact"/>
              <w:jc w:val="right"/>
            </w:pPr>
            <w:r>
              <w:t>Total_VL_FOB</w:t>
            </w:r>
          </w:p>
        </w:tc>
      </w:tr>
      <w:tr w:rsidR="009F07D6" w14:paraId="1B854EEB" w14:textId="77777777">
        <w:tc>
          <w:tcPr>
            <w:tcW w:w="0" w:type="auto"/>
          </w:tcPr>
          <w:p w14:paraId="3BC58D93" w14:textId="77777777" w:rsidR="009F07D6" w:rsidRDefault="00023610">
            <w:pPr>
              <w:pStyle w:val="Compact"/>
            </w:pPr>
            <w:r>
              <w:t>SANTOS</w:t>
            </w:r>
          </w:p>
        </w:tc>
        <w:tc>
          <w:tcPr>
            <w:tcW w:w="0" w:type="auto"/>
          </w:tcPr>
          <w:p w14:paraId="24D50749" w14:textId="77777777" w:rsidR="009F07D6" w:rsidRDefault="00023610">
            <w:pPr>
              <w:pStyle w:val="Compact"/>
              <w:jc w:val="right"/>
            </w:pPr>
            <w:r>
              <w:t>12860625150</w:t>
            </w:r>
          </w:p>
        </w:tc>
      </w:tr>
      <w:tr w:rsidR="009F07D6" w14:paraId="19A8D4F6" w14:textId="77777777">
        <w:tc>
          <w:tcPr>
            <w:tcW w:w="0" w:type="auto"/>
          </w:tcPr>
          <w:p w14:paraId="64314737" w14:textId="77777777" w:rsidR="009F07D6" w:rsidRDefault="00023610">
            <w:pPr>
              <w:pStyle w:val="Compact"/>
            </w:pPr>
            <w:r>
              <w:t>SAO PAULO</w:t>
            </w:r>
          </w:p>
        </w:tc>
        <w:tc>
          <w:tcPr>
            <w:tcW w:w="0" w:type="auto"/>
          </w:tcPr>
          <w:p w14:paraId="5185EB83" w14:textId="77777777" w:rsidR="009F07D6" w:rsidRDefault="00023610">
            <w:pPr>
              <w:pStyle w:val="Compact"/>
              <w:jc w:val="right"/>
            </w:pPr>
            <w:r>
              <w:t>10340475937</w:t>
            </w:r>
          </w:p>
        </w:tc>
      </w:tr>
      <w:tr w:rsidR="009F07D6" w14:paraId="010690F3" w14:textId="77777777">
        <w:tc>
          <w:tcPr>
            <w:tcW w:w="0" w:type="auto"/>
          </w:tcPr>
          <w:p w14:paraId="7CFEA912" w14:textId="77777777" w:rsidR="009F07D6" w:rsidRDefault="00023610">
            <w:pPr>
              <w:pStyle w:val="Compact"/>
            </w:pPr>
            <w:r>
              <w:t>SAO BERNARDO DO CAMPO</w:t>
            </w:r>
          </w:p>
        </w:tc>
        <w:tc>
          <w:tcPr>
            <w:tcW w:w="0" w:type="auto"/>
          </w:tcPr>
          <w:p w14:paraId="50A91139" w14:textId="77777777" w:rsidR="009F07D6" w:rsidRDefault="00023610">
            <w:pPr>
              <w:pStyle w:val="Compact"/>
              <w:jc w:val="right"/>
            </w:pPr>
            <w:r>
              <w:t>7788972088</w:t>
            </w:r>
          </w:p>
        </w:tc>
      </w:tr>
      <w:tr w:rsidR="009F07D6" w14:paraId="6904FD53" w14:textId="77777777">
        <w:tc>
          <w:tcPr>
            <w:tcW w:w="0" w:type="auto"/>
          </w:tcPr>
          <w:p w14:paraId="73F37A90" w14:textId="77777777" w:rsidR="009F07D6" w:rsidRDefault="00023610">
            <w:pPr>
              <w:pStyle w:val="Compact"/>
            </w:pPr>
            <w:r>
              <w:t>PIRACICABA</w:t>
            </w:r>
          </w:p>
        </w:tc>
        <w:tc>
          <w:tcPr>
            <w:tcW w:w="0" w:type="auto"/>
          </w:tcPr>
          <w:p w14:paraId="5EB1E0AC" w14:textId="77777777" w:rsidR="009F07D6" w:rsidRDefault="00023610">
            <w:pPr>
              <w:pStyle w:val="Compact"/>
              <w:jc w:val="right"/>
            </w:pPr>
            <w:r>
              <w:t>6693799365</w:t>
            </w:r>
          </w:p>
        </w:tc>
      </w:tr>
      <w:tr w:rsidR="009F07D6" w14:paraId="70038D2F" w14:textId="77777777">
        <w:tc>
          <w:tcPr>
            <w:tcW w:w="0" w:type="auto"/>
          </w:tcPr>
          <w:p w14:paraId="7F7746FE" w14:textId="77777777" w:rsidR="009F07D6" w:rsidRDefault="00023610">
            <w:pPr>
              <w:pStyle w:val="Compact"/>
            </w:pPr>
            <w:r>
              <w:t>SAO JOSE DOS CAMPOS</w:t>
            </w:r>
          </w:p>
        </w:tc>
        <w:tc>
          <w:tcPr>
            <w:tcW w:w="0" w:type="auto"/>
          </w:tcPr>
          <w:p w14:paraId="1DEB896B" w14:textId="77777777" w:rsidR="009F07D6" w:rsidRDefault="00023610">
            <w:pPr>
              <w:pStyle w:val="Compact"/>
              <w:jc w:val="right"/>
            </w:pPr>
            <w:r>
              <w:t>6539213094</w:t>
            </w:r>
          </w:p>
        </w:tc>
      </w:tr>
    </w:tbl>
    <w:p w14:paraId="534C3092" w14:textId="77777777" w:rsidR="009F07D6" w:rsidRDefault="00023610">
      <w:pPr>
        <w:pStyle w:val="Corpodetexto"/>
      </w:pPr>
      <w:r>
        <w:t xml:space="preserve">Santos e São Paulo lideram em termos de valor financeiro, o que é esperado dada a sua importância como centros comerciais e portuários. São Bernardo do Campo, Piracicaba e São José dos Campos também apresentam volumes financeiros significativos, indicando </w:t>
      </w:r>
      <w:r>
        <w:t>forte atividade econômica nessas regiões.</w:t>
      </w:r>
    </w:p>
    <w:p w14:paraId="2CF02B7B" w14:textId="77777777" w:rsidR="009F07D6" w:rsidRDefault="00023610">
      <w:pPr>
        <w:pStyle w:val="Ttulo3"/>
      </w:pPr>
      <w:bookmarkStart w:id="4" w:name="municípios-com-maior-volume-kg_liquido"/>
      <w:r>
        <w:t>Municípios com Maior Volume (KG_LIQUIDO)</w:t>
      </w:r>
      <w:bookmarkEnd w:id="4"/>
    </w:p>
    <w:p w14:paraId="14C0CA61" w14:textId="77777777" w:rsidR="009F07D6" w:rsidRDefault="00023610">
      <w:pPr>
        <w:pStyle w:val="FirstParagraph"/>
      </w:pPr>
      <w:r>
        <w:t>Em relação ao volume físico de produtos (</w:t>
      </w:r>
      <w:r>
        <w:rPr>
          <w:rStyle w:val="VerbatimChar"/>
        </w:rPr>
        <w:t>Total KG_LIQUIDO</w:t>
      </w:r>
      <w:r>
        <w:t>), os principais municípios são:</w:t>
      </w:r>
    </w:p>
    <w:tbl>
      <w:tblPr>
        <w:tblStyle w:val="Table"/>
        <w:tblW w:w="0" w:type="pct"/>
        <w:tblLook w:val="07E0" w:firstRow="1" w:lastRow="1" w:firstColumn="1" w:lastColumn="1" w:noHBand="1" w:noVBand="1"/>
      </w:tblPr>
      <w:tblGrid>
        <w:gridCol w:w="2247"/>
        <w:gridCol w:w="2138"/>
      </w:tblGrid>
      <w:tr w:rsidR="009F07D6" w14:paraId="0B4E9258" w14:textId="77777777">
        <w:tc>
          <w:tcPr>
            <w:tcW w:w="0" w:type="auto"/>
            <w:tcBorders>
              <w:bottom w:val="single" w:sz="0" w:space="0" w:color="auto"/>
            </w:tcBorders>
            <w:vAlign w:val="bottom"/>
          </w:tcPr>
          <w:p w14:paraId="4320A3A9" w14:textId="77777777" w:rsidR="009F07D6" w:rsidRDefault="00023610">
            <w:pPr>
              <w:pStyle w:val="Compact"/>
            </w:pPr>
            <w:r>
              <w:t>NO_MUN</w:t>
            </w:r>
          </w:p>
        </w:tc>
        <w:tc>
          <w:tcPr>
            <w:tcW w:w="0" w:type="auto"/>
            <w:tcBorders>
              <w:bottom w:val="single" w:sz="0" w:space="0" w:color="auto"/>
            </w:tcBorders>
            <w:vAlign w:val="bottom"/>
          </w:tcPr>
          <w:p w14:paraId="56335B9E" w14:textId="77777777" w:rsidR="009F07D6" w:rsidRDefault="00023610">
            <w:pPr>
              <w:pStyle w:val="Compact"/>
              <w:jc w:val="right"/>
            </w:pPr>
            <w:r>
              <w:t>Total_KG_LIQUIDO</w:t>
            </w:r>
          </w:p>
        </w:tc>
      </w:tr>
      <w:tr w:rsidR="009F07D6" w14:paraId="78DC883F" w14:textId="77777777">
        <w:tc>
          <w:tcPr>
            <w:tcW w:w="0" w:type="auto"/>
          </w:tcPr>
          <w:p w14:paraId="6050FA8E" w14:textId="77777777" w:rsidR="009F07D6" w:rsidRDefault="00023610">
            <w:pPr>
              <w:pStyle w:val="Compact"/>
            </w:pPr>
            <w:r>
              <w:t>SANTOS</w:t>
            </w:r>
          </w:p>
        </w:tc>
        <w:tc>
          <w:tcPr>
            <w:tcW w:w="0" w:type="auto"/>
          </w:tcPr>
          <w:p w14:paraId="1DA90975" w14:textId="77777777" w:rsidR="009F07D6" w:rsidRDefault="00023610">
            <w:pPr>
              <w:pStyle w:val="Compact"/>
              <w:jc w:val="right"/>
            </w:pPr>
            <w:r>
              <w:t>23989402421</w:t>
            </w:r>
          </w:p>
        </w:tc>
      </w:tr>
      <w:tr w:rsidR="009F07D6" w14:paraId="4A0E1C0B" w14:textId="77777777">
        <w:tc>
          <w:tcPr>
            <w:tcW w:w="0" w:type="auto"/>
          </w:tcPr>
          <w:p w14:paraId="3F63C250" w14:textId="77777777" w:rsidR="009F07D6" w:rsidRDefault="00023610">
            <w:pPr>
              <w:pStyle w:val="Compact"/>
            </w:pPr>
            <w:r>
              <w:t>SAO PAULO</w:t>
            </w:r>
          </w:p>
        </w:tc>
        <w:tc>
          <w:tcPr>
            <w:tcW w:w="0" w:type="auto"/>
          </w:tcPr>
          <w:p w14:paraId="7122406A" w14:textId="77777777" w:rsidR="009F07D6" w:rsidRDefault="00023610">
            <w:pPr>
              <w:pStyle w:val="Compact"/>
              <w:jc w:val="right"/>
            </w:pPr>
            <w:r>
              <w:t>13588182347</w:t>
            </w:r>
          </w:p>
        </w:tc>
      </w:tr>
      <w:tr w:rsidR="009F07D6" w14:paraId="2E990AE4" w14:textId="77777777">
        <w:tc>
          <w:tcPr>
            <w:tcW w:w="0" w:type="auto"/>
          </w:tcPr>
          <w:p w14:paraId="1A569D74" w14:textId="77777777" w:rsidR="009F07D6" w:rsidRDefault="00023610">
            <w:pPr>
              <w:pStyle w:val="Compact"/>
            </w:pPr>
            <w:r>
              <w:t>ILHABELA</w:t>
            </w:r>
          </w:p>
        </w:tc>
        <w:tc>
          <w:tcPr>
            <w:tcW w:w="0" w:type="auto"/>
          </w:tcPr>
          <w:p w14:paraId="07E31B40" w14:textId="77777777" w:rsidR="009F07D6" w:rsidRDefault="00023610">
            <w:pPr>
              <w:pStyle w:val="Compact"/>
              <w:jc w:val="right"/>
            </w:pPr>
            <w:r>
              <w:t>11459641884</w:t>
            </w:r>
          </w:p>
        </w:tc>
      </w:tr>
      <w:tr w:rsidR="009F07D6" w14:paraId="3A8C0416" w14:textId="77777777">
        <w:tc>
          <w:tcPr>
            <w:tcW w:w="0" w:type="auto"/>
          </w:tcPr>
          <w:p w14:paraId="40439FD9" w14:textId="77777777" w:rsidR="009F07D6" w:rsidRDefault="00023610">
            <w:pPr>
              <w:pStyle w:val="Compact"/>
            </w:pPr>
            <w:r>
              <w:t>LENCOIS PAULISTA</w:t>
            </w:r>
          </w:p>
        </w:tc>
        <w:tc>
          <w:tcPr>
            <w:tcW w:w="0" w:type="auto"/>
          </w:tcPr>
          <w:p w14:paraId="7D582B8F" w14:textId="77777777" w:rsidR="009F07D6" w:rsidRDefault="00023610">
            <w:pPr>
              <w:pStyle w:val="Compact"/>
              <w:jc w:val="right"/>
            </w:pPr>
            <w:r>
              <w:t>5838015337</w:t>
            </w:r>
          </w:p>
        </w:tc>
      </w:tr>
      <w:tr w:rsidR="009F07D6" w14:paraId="5DCFE09B" w14:textId="77777777">
        <w:tc>
          <w:tcPr>
            <w:tcW w:w="0" w:type="auto"/>
          </w:tcPr>
          <w:p w14:paraId="288592A4" w14:textId="77777777" w:rsidR="009F07D6" w:rsidRDefault="00023610">
            <w:pPr>
              <w:pStyle w:val="Compact"/>
            </w:pPr>
            <w:r>
              <w:t>SAO SEBASTIAO</w:t>
            </w:r>
          </w:p>
        </w:tc>
        <w:tc>
          <w:tcPr>
            <w:tcW w:w="0" w:type="auto"/>
          </w:tcPr>
          <w:p w14:paraId="27575E78" w14:textId="77777777" w:rsidR="009F07D6" w:rsidRDefault="00023610">
            <w:pPr>
              <w:pStyle w:val="Compact"/>
              <w:jc w:val="right"/>
            </w:pPr>
            <w:r>
              <w:t>5152968148</w:t>
            </w:r>
          </w:p>
        </w:tc>
      </w:tr>
    </w:tbl>
    <w:p w14:paraId="0AE8914C" w14:textId="2114DED9" w:rsidR="00BD7B98" w:rsidRDefault="00023610">
      <w:pPr>
        <w:pStyle w:val="Corpodetexto"/>
      </w:pPr>
      <w:r>
        <w:t xml:space="preserve">Novamente, Santos e São Paulo aparecem no topo, confirmando sua relevância tanto em valor quanto em volume. A presença de Ilhabela, Lençóis Paulista e São Sebastião entre os maiores em </w:t>
      </w:r>
      <w:r>
        <w:rPr>
          <w:rStyle w:val="VerbatimChar"/>
        </w:rPr>
        <w:t>KG_LIQUIDO</w:t>
      </w:r>
      <w:r>
        <w:t xml:space="preserve"> sugere que essas localidades podem estar envolvidas na movim</w:t>
      </w:r>
      <w:r>
        <w:t>entação de grandes volumes de commodities ou produtos de menor valor unitário, mas de alta massa.</w:t>
      </w:r>
    </w:p>
    <w:p w14:paraId="38B5E6B3" w14:textId="77777777" w:rsidR="00BD7B98" w:rsidRDefault="00BD7B98">
      <w:r>
        <w:br w:type="page"/>
      </w:r>
    </w:p>
    <w:p w14:paraId="171AD52C" w14:textId="487FBFA8" w:rsidR="009F07D6" w:rsidRDefault="00BD7B98">
      <w:pPr>
        <w:pStyle w:val="Ttulo3"/>
      </w:pPr>
      <w:bookmarkStart w:id="5" w:name="X1af5d03a4fafc3315d5a201724d00dd1fb3cfb8"/>
      <w:r>
        <w:lastRenderedPageBreak/>
        <w:t>M</w:t>
      </w:r>
      <w:r w:rsidR="00023610">
        <w:t>unicípios com Maior Valor Agregado por KG</w:t>
      </w:r>
      <w:bookmarkEnd w:id="5"/>
    </w:p>
    <w:p w14:paraId="7B70B42D" w14:textId="77777777" w:rsidR="009F07D6" w:rsidRDefault="00023610">
      <w:pPr>
        <w:pStyle w:val="FirstParagraph"/>
      </w:pPr>
      <w:r>
        <w:t xml:space="preserve">O </w:t>
      </w:r>
      <w:r>
        <w:rPr>
          <w:rStyle w:val="VerbatimChar"/>
        </w:rPr>
        <w:t>Valor_por_KG</w:t>
      </w:r>
      <w:r>
        <w:t xml:space="preserve"> </w:t>
      </w:r>
      <w:r>
        <w:t xml:space="preserve">é um KPI crucial para entender a qualidade das transações. Municípios com alto </w:t>
      </w:r>
      <w:r>
        <w:rPr>
          <w:rStyle w:val="VerbatimChar"/>
        </w:rPr>
        <w:t>Valor_por_KG</w:t>
      </w:r>
      <w:r>
        <w:t xml:space="preserve"> estão transacionando produtos de maior valor intrínseco por unidade de peso. Os 5 principais municípios neste quesito são:</w:t>
      </w:r>
    </w:p>
    <w:tbl>
      <w:tblPr>
        <w:tblStyle w:val="Table"/>
        <w:tblW w:w="0" w:type="pct"/>
        <w:tblLook w:val="07E0" w:firstRow="1" w:lastRow="1" w:firstColumn="1" w:lastColumn="1" w:noHBand="1" w:noVBand="1"/>
      </w:tblPr>
      <w:tblGrid>
        <w:gridCol w:w="2040"/>
        <w:gridCol w:w="1606"/>
      </w:tblGrid>
      <w:tr w:rsidR="009F07D6" w14:paraId="4715EEA9" w14:textId="77777777">
        <w:tc>
          <w:tcPr>
            <w:tcW w:w="0" w:type="auto"/>
            <w:tcBorders>
              <w:bottom w:val="single" w:sz="0" w:space="0" w:color="auto"/>
            </w:tcBorders>
            <w:vAlign w:val="bottom"/>
          </w:tcPr>
          <w:p w14:paraId="2DBD0F38" w14:textId="77777777" w:rsidR="009F07D6" w:rsidRDefault="00023610">
            <w:pPr>
              <w:pStyle w:val="Compact"/>
            </w:pPr>
            <w:r>
              <w:t>NO_MUN</w:t>
            </w:r>
          </w:p>
        </w:tc>
        <w:tc>
          <w:tcPr>
            <w:tcW w:w="0" w:type="auto"/>
            <w:tcBorders>
              <w:bottom w:val="single" w:sz="0" w:space="0" w:color="auto"/>
            </w:tcBorders>
            <w:vAlign w:val="bottom"/>
          </w:tcPr>
          <w:p w14:paraId="48FDAE56" w14:textId="77777777" w:rsidR="009F07D6" w:rsidRDefault="00023610">
            <w:pPr>
              <w:pStyle w:val="Compact"/>
              <w:jc w:val="right"/>
            </w:pPr>
            <w:r>
              <w:t>Valor_por_KG</w:t>
            </w:r>
          </w:p>
        </w:tc>
      </w:tr>
      <w:tr w:rsidR="009F07D6" w14:paraId="733BE70B" w14:textId="77777777">
        <w:tc>
          <w:tcPr>
            <w:tcW w:w="0" w:type="auto"/>
          </w:tcPr>
          <w:p w14:paraId="2F71A5EF" w14:textId="77777777" w:rsidR="009F07D6" w:rsidRDefault="00023610">
            <w:pPr>
              <w:pStyle w:val="Compact"/>
            </w:pPr>
            <w:r>
              <w:t>ROSANA</w:t>
            </w:r>
          </w:p>
        </w:tc>
        <w:tc>
          <w:tcPr>
            <w:tcW w:w="0" w:type="auto"/>
          </w:tcPr>
          <w:p w14:paraId="35F781D0" w14:textId="77777777" w:rsidR="009F07D6" w:rsidRDefault="00023610">
            <w:pPr>
              <w:pStyle w:val="Compact"/>
              <w:jc w:val="right"/>
            </w:pPr>
            <w:r>
              <w:t>2395.5</w:t>
            </w:r>
          </w:p>
        </w:tc>
      </w:tr>
      <w:tr w:rsidR="009F07D6" w14:paraId="1A998C30" w14:textId="77777777">
        <w:tc>
          <w:tcPr>
            <w:tcW w:w="0" w:type="auto"/>
          </w:tcPr>
          <w:p w14:paraId="5C1B9312" w14:textId="77777777" w:rsidR="009F07D6" w:rsidRDefault="00023610">
            <w:pPr>
              <w:pStyle w:val="Compact"/>
            </w:pPr>
            <w:r>
              <w:t>GAVIA</w:t>
            </w:r>
            <w:r>
              <w:t>O PEIXOTO</w:t>
            </w:r>
          </w:p>
        </w:tc>
        <w:tc>
          <w:tcPr>
            <w:tcW w:w="0" w:type="auto"/>
          </w:tcPr>
          <w:p w14:paraId="28E5FFF8" w14:textId="77777777" w:rsidR="009F07D6" w:rsidRDefault="00023610">
            <w:pPr>
              <w:pStyle w:val="Compact"/>
              <w:jc w:val="right"/>
            </w:pPr>
            <w:r>
              <w:t>1762.33</w:t>
            </w:r>
          </w:p>
        </w:tc>
      </w:tr>
      <w:tr w:rsidR="009F07D6" w14:paraId="17295DE2" w14:textId="77777777">
        <w:tc>
          <w:tcPr>
            <w:tcW w:w="0" w:type="auto"/>
          </w:tcPr>
          <w:p w14:paraId="0FA3BEAB" w14:textId="77777777" w:rsidR="009F07D6" w:rsidRDefault="00023610">
            <w:pPr>
              <w:pStyle w:val="Compact"/>
            </w:pPr>
            <w:r>
              <w:t>IGUAPE</w:t>
            </w:r>
          </w:p>
        </w:tc>
        <w:tc>
          <w:tcPr>
            <w:tcW w:w="0" w:type="auto"/>
          </w:tcPr>
          <w:p w14:paraId="17D66690" w14:textId="77777777" w:rsidR="009F07D6" w:rsidRDefault="00023610">
            <w:pPr>
              <w:pStyle w:val="Compact"/>
              <w:jc w:val="right"/>
            </w:pPr>
            <w:r>
              <w:t>1737.5</w:t>
            </w:r>
          </w:p>
        </w:tc>
      </w:tr>
      <w:tr w:rsidR="009F07D6" w14:paraId="26B18E72" w14:textId="77777777">
        <w:tc>
          <w:tcPr>
            <w:tcW w:w="0" w:type="auto"/>
          </w:tcPr>
          <w:p w14:paraId="29036A17" w14:textId="77777777" w:rsidR="009F07D6" w:rsidRDefault="00023610">
            <w:pPr>
              <w:pStyle w:val="Compact"/>
            </w:pPr>
            <w:r>
              <w:t>BARBOSA</w:t>
            </w:r>
          </w:p>
        </w:tc>
        <w:tc>
          <w:tcPr>
            <w:tcW w:w="0" w:type="auto"/>
          </w:tcPr>
          <w:p w14:paraId="0309B6AC" w14:textId="77777777" w:rsidR="009F07D6" w:rsidRDefault="00023610">
            <w:pPr>
              <w:pStyle w:val="Compact"/>
              <w:jc w:val="right"/>
            </w:pPr>
            <w:r>
              <w:t>1537</w:t>
            </w:r>
          </w:p>
        </w:tc>
      </w:tr>
      <w:tr w:rsidR="009F07D6" w14:paraId="7EB611F2" w14:textId="77777777">
        <w:tc>
          <w:tcPr>
            <w:tcW w:w="0" w:type="auto"/>
          </w:tcPr>
          <w:p w14:paraId="04B27A78" w14:textId="77777777" w:rsidR="009F07D6" w:rsidRDefault="00023610">
            <w:pPr>
              <w:pStyle w:val="Compact"/>
            </w:pPr>
            <w:r>
              <w:t>ILHA COMPRIDA</w:t>
            </w:r>
          </w:p>
        </w:tc>
        <w:tc>
          <w:tcPr>
            <w:tcW w:w="0" w:type="auto"/>
          </w:tcPr>
          <w:p w14:paraId="4E1109E9" w14:textId="77777777" w:rsidR="009F07D6" w:rsidRDefault="00023610">
            <w:pPr>
              <w:pStyle w:val="Compact"/>
              <w:jc w:val="right"/>
            </w:pPr>
            <w:r>
              <w:t>1380</w:t>
            </w:r>
          </w:p>
        </w:tc>
      </w:tr>
    </w:tbl>
    <w:p w14:paraId="29DB7D1B" w14:textId="5B9EF8E7" w:rsidR="00BD7B98" w:rsidRDefault="00023610">
      <w:pPr>
        <w:pStyle w:val="Corpodetexto"/>
      </w:pPr>
      <w:r>
        <w:t xml:space="preserve">É interessante notar que os municípios com maior </w:t>
      </w:r>
      <w:r>
        <w:rPr>
          <w:rStyle w:val="VerbatimChar"/>
        </w:rPr>
        <w:t>Valor_por_KG</w:t>
      </w:r>
      <w:r>
        <w:t xml:space="preserve"> não são necessariamente os mesmos com maior </w:t>
      </w:r>
      <w:r>
        <w:rPr>
          <w:rStyle w:val="VerbatimChar"/>
        </w:rPr>
        <w:t>Total VL_FOB</w:t>
      </w:r>
      <w:r>
        <w:t xml:space="preserve"> ou </w:t>
      </w:r>
      <w:r>
        <w:rPr>
          <w:rStyle w:val="VerbatimChar"/>
        </w:rPr>
        <w:t>Total KG_LIQUIDO</w:t>
      </w:r>
      <w:r>
        <w:t>. Isso indica que Rosana, Gavião Peixoto, Iguape, Barbosa e Ilha Comprida, embora possam ter um volume total menor, estão envolvidos em transações de produtos de alto valor agregado, como eletrônicos, produtos de alta tecnologia ou itens de luxo. Este insi</w:t>
      </w:r>
      <w:r>
        <w:t>ght é valioso para identificar nichos de mercado e oportunidades de investimento em áreas específicas.</w:t>
      </w:r>
    </w:p>
    <w:p w14:paraId="7CBFAC9A" w14:textId="77777777" w:rsidR="00BD7B98" w:rsidRDefault="00BD7B98">
      <w:r>
        <w:br w:type="page"/>
      </w:r>
    </w:p>
    <w:p w14:paraId="645B48F4" w14:textId="77777777" w:rsidR="009F07D6" w:rsidRDefault="00023610" w:rsidP="00BD7B98">
      <w:pPr>
        <w:pStyle w:val="Ttulo2"/>
        <w:ind w:right="-518"/>
      </w:pPr>
      <w:bookmarkStart w:id="6" w:name="variação-temporal-análise-mensal-e-anual"/>
      <w:r>
        <w:lastRenderedPageBreak/>
        <w:t>Variação Temporal: Análise Mensal e Anual</w:t>
      </w:r>
      <w:bookmarkEnd w:id="6"/>
    </w:p>
    <w:p w14:paraId="1D0A91CF" w14:textId="77777777" w:rsidR="009F07D6" w:rsidRDefault="00023610">
      <w:pPr>
        <w:pStyle w:val="FirstParagraph"/>
      </w:pPr>
      <w:r>
        <w:t>A análise da variação temporal permite identificar padrões, tendências de crescimento ou declínio e a sazonalid</w:t>
      </w:r>
      <w:r>
        <w:t xml:space="preserve">ade das transações ao longo do tempo. Foram calculadas as variações percentuais mensais e anuais para </w:t>
      </w:r>
      <w:r>
        <w:rPr>
          <w:rStyle w:val="VerbatimChar"/>
        </w:rPr>
        <w:t>VL_FOB</w:t>
      </w:r>
      <w:r>
        <w:t xml:space="preserve"> e </w:t>
      </w:r>
      <w:r>
        <w:rPr>
          <w:rStyle w:val="VerbatimChar"/>
        </w:rPr>
        <w:t>KG_LIQUIDO</w:t>
      </w:r>
      <w:r>
        <w:t>.</w:t>
      </w:r>
    </w:p>
    <w:p w14:paraId="39886B85" w14:textId="77777777" w:rsidR="009F07D6" w:rsidRDefault="00023610">
      <w:pPr>
        <w:pStyle w:val="Ttulo3"/>
      </w:pPr>
      <w:bookmarkStart w:id="7" w:name="variação-mensal"/>
      <w:r>
        <w:t>Variação Mensal</w:t>
      </w:r>
      <w:bookmarkEnd w:id="7"/>
    </w:p>
    <w:p w14:paraId="4191A56F" w14:textId="77777777" w:rsidR="009F07D6" w:rsidRDefault="00023610">
      <w:pPr>
        <w:pStyle w:val="FirstParagraph"/>
      </w:pPr>
      <w:r>
        <w:t xml:space="preserve">A variação mensal do </w:t>
      </w:r>
      <w:r>
        <w:rPr>
          <w:rStyle w:val="VerbatimChar"/>
        </w:rPr>
        <w:t>VL_FOB</w:t>
      </w:r>
      <w:r>
        <w:t xml:space="preserve"> e </w:t>
      </w:r>
      <w:r>
        <w:rPr>
          <w:rStyle w:val="VerbatimChar"/>
        </w:rPr>
        <w:t>KG_LIQUIDO</w:t>
      </w:r>
      <w:r>
        <w:t xml:space="preserve"> revela a dinâmica de curto prazo das transações. A tabela abaixo mostra as v</w:t>
      </w:r>
      <w:r>
        <w:t>ariações para os primeiros meses de dados:</w:t>
      </w:r>
    </w:p>
    <w:tbl>
      <w:tblPr>
        <w:tblStyle w:val="Table"/>
        <w:tblW w:w="0" w:type="pct"/>
        <w:tblLook w:val="07E0" w:firstRow="1" w:lastRow="1" w:firstColumn="1" w:lastColumn="1" w:noHBand="1" w:noVBand="1"/>
      </w:tblPr>
      <w:tblGrid>
        <w:gridCol w:w="951"/>
        <w:gridCol w:w="1634"/>
        <w:gridCol w:w="2138"/>
        <w:gridCol w:w="2527"/>
        <w:gridCol w:w="3031"/>
      </w:tblGrid>
      <w:tr w:rsidR="009F07D6" w14:paraId="020E017E" w14:textId="77777777">
        <w:tc>
          <w:tcPr>
            <w:tcW w:w="0" w:type="auto"/>
            <w:tcBorders>
              <w:bottom w:val="single" w:sz="0" w:space="0" w:color="auto"/>
            </w:tcBorders>
            <w:vAlign w:val="bottom"/>
          </w:tcPr>
          <w:p w14:paraId="0B845E2E" w14:textId="77777777" w:rsidR="009F07D6" w:rsidRDefault="00023610">
            <w:pPr>
              <w:pStyle w:val="Compact"/>
            </w:pPr>
            <w:r>
              <w:t>DATA</w:t>
            </w:r>
          </w:p>
        </w:tc>
        <w:tc>
          <w:tcPr>
            <w:tcW w:w="0" w:type="auto"/>
            <w:tcBorders>
              <w:bottom w:val="single" w:sz="0" w:space="0" w:color="auto"/>
            </w:tcBorders>
            <w:vAlign w:val="bottom"/>
          </w:tcPr>
          <w:p w14:paraId="701DCFCB" w14:textId="77777777" w:rsidR="009F07D6" w:rsidRDefault="00023610">
            <w:pPr>
              <w:pStyle w:val="Compact"/>
              <w:jc w:val="right"/>
            </w:pPr>
            <w:r>
              <w:t>Total_VL_FOB</w:t>
            </w:r>
          </w:p>
        </w:tc>
        <w:tc>
          <w:tcPr>
            <w:tcW w:w="0" w:type="auto"/>
            <w:tcBorders>
              <w:bottom w:val="single" w:sz="0" w:space="0" w:color="auto"/>
            </w:tcBorders>
            <w:vAlign w:val="bottom"/>
          </w:tcPr>
          <w:p w14:paraId="42B98AB8" w14:textId="77777777" w:rsidR="009F07D6" w:rsidRDefault="00023610">
            <w:pPr>
              <w:pStyle w:val="Compact"/>
              <w:jc w:val="right"/>
            </w:pPr>
            <w:r>
              <w:t>Total_KG_LIQUIDO</w:t>
            </w:r>
          </w:p>
        </w:tc>
        <w:tc>
          <w:tcPr>
            <w:tcW w:w="0" w:type="auto"/>
            <w:tcBorders>
              <w:bottom w:val="single" w:sz="0" w:space="0" w:color="auto"/>
            </w:tcBorders>
            <w:vAlign w:val="bottom"/>
          </w:tcPr>
          <w:p w14:paraId="630B84F1" w14:textId="77777777" w:rsidR="009F07D6" w:rsidRDefault="00023610">
            <w:pPr>
              <w:pStyle w:val="Compact"/>
              <w:jc w:val="right"/>
            </w:pPr>
            <w:r>
              <w:t>VL_FOB_VAR_MENSAL</w:t>
            </w:r>
          </w:p>
        </w:tc>
        <w:tc>
          <w:tcPr>
            <w:tcW w:w="0" w:type="auto"/>
            <w:tcBorders>
              <w:bottom w:val="single" w:sz="0" w:space="0" w:color="auto"/>
            </w:tcBorders>
            <w:vAlign w:val="bottom"/>
          </w:tcPr>
          <w:p w14:paraId="4BF7F20F" w14:textId="77777777" w:rsidR="009F07D6" w:rsidRDefault="00023610">
            <w:pPr>
              <w:pStyle w:val="Compact"/>
              <w:jc w:val="right"/>
            </w:pPr>
            <w:r>
              <w:t>KG_LIQUIDO_VAR_MENSAL</w:t>
            </w:r>
          </w:p>
        </w:tc>
      </w:tr>
      <w:tr w:rsidR="009F07D6" w14:paraId="59E1A503" w14:textId="77777777">
        <w:tc>
          <w:tcPr>
            <w:tcW w:w="0" w:type="auto"/>
          </w:tcPr>
          <w:p w14:paraId="6E5C02A8" w14:textId="013C754F" w:rsidR="009F07D6" w:rsidRDefault="00BD7B98">
            <w:pPr>
              <w:pStyle w:val="Compact"/>
            </w:pPr>
            <w:r>
              <w:t>Jan-2023</w:t>
            </w:r>
          </w:p>
        </w:tc>
        <w:tc>
          <w:tcPr>
            <w:tcW w:w="0" w:type="auto"/>
          </w:tcPr>
          <w:p w14:paraId="5ADED69A" w14:textId="77777777" w:rsidR="009F07D6" w:rsidRDefault="00023610">
            <w:pPr>
              <w:pStyle w:val="Compact"/>
              <w:jc w:val="right"/>
            </w:pPr>
            <w:r>
              <w:t>5409806353</w:t>
            </w:r>
          </w:p>
        </w:tc>
        <w:tc>
          <w:tcPr>
            <w:tcW w:w="0" w:type="auto"/>
          </w:tcPr>
          <w:p w14:paraId="31DBAE2F" w14:textId="77777777" w:rsidR="009F07D6" w:rsidRDefault="00023610">
            <w:pPr>
              <w:pStyle w:val="Compact"/>
              <w:jc w:val="right"/>
            </w:pPr>
            <w:r>
              <w:t>4878250022</w:t>
            </w:r>
          </w:p>
        </w:tc>
        <w:tc>
          <w:tcPr>
            <w:tcW w:w="0" w:type="auto"/>
          </w:tcPr>
          <w:p w14:paraId="53B60B8D" w14:textId="77777777" w:rsidR="009F07D6" w:rsidRDefault="00023610">
            <w:pPr>
              <w:pStyle w:val="Compact"/>
              <w:jc w:val="right"/>
            </w:pPr>
            <w:r>
              <w:t>nan</w:t>
            </w:r>
          </w:p>
        </w:tc>
        <w:tc>
          <w:tcPr>
            <w:tcW w:w="0" w:type="auto"/>
          </w:tcPr>
          <w:p w14:paraId="09E60F32" w14:textId="77777777" w:rsidR="009F07D6" w:rsidRDefault="00023610">
            <w:pPr>
              <w:pStyle w:val="Compact"/>
              <w:jc w:val="right"/>
            </w:pPr>
            <w:r>
              <w:t>nan</w:t>
            </w:r>
          </w:p>
        </w:tc>
      </w:tr>
      <w:tr w:rsidR="009F07D6" w14:paraId="693D1D08" w14:textId="77777777">
        <w:tc>
          <w:tcPr>
            <w:tcW w:w="0" w:type="auto"/>
          </w:tcPr>
          <w:p w14:paraId="4084589B" w14:textId="1F2BBC49" w:rsidR="009F07D6" w:rsidRDefault="00BD7B98">
            <w:pPr>
              <w:pStyle w:val="Compact"/>
            </w:pPr>
            <w:r>
              <w:t>Fev-203</w:t>
            </w:r>
          </w:p>
        </w:tc>
        <w:tc>
          <w:tcPr>
            <w:tcW w:w="0" w:type="auto"/>
          </w:tcPr>
          <w:p w14:paraId="3047F718" w14:textId="77777777" w:rsidR="009F07D6" w:rsidRDefault="00023610">
            <w:pPr>
              <w:pStyle w:val="Compact"/>
              <w:jc w:val="right"/>
            </w:pPr>
            <w:r>
              <w:t>4563431324</w:t>
            </w:r>
          </w:p>
        </w:tc>
        <w:tc>
          <w:tcPr>
            <w:tcW w:w="0" w:type="auto"/>
          </w:tcPr>
          <w:p w14:paraId="53DF23D1" w14:textId="77777777" w:rsidR="009F07D6" w:rsidRDefault="00023610">
            <w:pPr>
              <w:pStyle w:val="Compact"/>
              <w:jc w:val="right"/>
            </w:pPr>
            <w:r>
              <w:t>3694715607</w:t>
            </w:r>
          </w:p>
        </w:tc>
        <w:tc>
          <w:tcPr>
            <w:tcW w:w="0" w:type="auto"/>
          </w:tcPr>
          <w:p w14:paraId="326DE96F" w14:textId="77777777" w:rsidR="009F07D6" w:rsidRDefault="00023610">
            <w:pPr>
              <w:pStyle w:val="Compact"/>
              <w:jc w:val="right"/>
            </w:pPr>
            <w:r>
              <w:t>-15.6452</w:t>
            </w:r>
          </w:p>
        </w:tc>
        <w:tc>
          <w:tcPr>
            <w:tcW w:w="0" w:type="auto"/>
          </w:tcPr>
          <w:p w14:paraId="3DA11F5E" w14:textId="77777777" w:rsidR="009F07D6" w:rsidRDefault="00023610">
            <w:pPr>
              <w:pStyle w:val="Compact"/>
              <w:jc w:val="right"/>
            </w:pPr>
            <w:r>
              <w:t>-24.2615</w:t>
            </w:r>
          </w:p>
        </w:tc>
      </w:tr>
      <w:tr w:rsidR="009F07D6" w14:paraId="66EBA5B2" w14:textId="77777777">
        <w:tc>
          <w:tcPr>
            <w:tcW w:w="0" w:type="auto"/>
          </w:tcPr>
          <w:p w14:paraId="688FAB79" w14:textId="0A44FB80" w:rsidR="009F07D6" w:rsidRDefault="00BD7B98">
            <w:pPr>
              <w:pStyle w:val="Compact"/>
            </w:pPr>
            <w:r>
              <w:t>Mar-2023</w:t>
            </w:r>
          </w:p>
        </w:tc>
        <w:tc>
          <w:tcPr>
            <w:tcW w:w="0" w:type="auto"/>
          </w:tcPr>
          <w:p w14:paraId="6AB22C8D" w14:textId="77777777" w:rsidR="009F07D6" w:rsidRDefault="00023610">
            <w:pPr>
              <w:pStyle w:val="Compact"/>
              <w:jc w:val="right"/>
            </w:pPr>
            <w:r>
              <w:t>6806091626</w:t>
            </w:r>
          </w:p>
        </w:tc>
        <w:tc>
          <w:tcPr>
            <w:tcW w:w="0" w:type="auto"/>
          </w:tcPr>
          <w:p w14:paraId="50641721" w14:textId="77777777" w:rsidR="009F07D6" w:rsidRDefault="00023610">
            <w:pPr>
              <w:pStyle w:val="Compact"/>
              <w:jc w:val="right"/>
            </w:pPr>
            <w:r>
              <w:t>6345813744</w:t>
            </w:r>
          </w:p>
        </w:tc>
        <w:tc>
          <w:tcPr>
            <w:tcW w:w="0" w:type="auto"/>
          </w:tcPr>
          <w:p w14:paraId="2AD83B22" w14:textId="77777777" w:rsidR="009F07D6" w:rsidRDefault="00023610">
            <w:pPr>
              <w:pStyle w:val="Compact"/>
              <w:jc w:val="right"/>
            </w:pPr>
            <w:r>
              <w:t>49.1442</w:t>
            </w:r>
          </w:p>
        </w:tc>
        <w:tc>
          <w:tcPr>
            <w:tcW w:w="0" w:type="auto"/>
          </w:tcPr>
          <w:p w14:paraId="446161A4" w14:textId="77777777" w:rsidR="009F07D6" w:rsidRDefault="00023610">
            <w:pPr>
              <w:pStyle w:val="Compact"/>
              <w:jc w:val="right"/>
            </w:pPr>
            <w:r>
              <w:t>71.7538</w:t>
            </w:r>
          </w:p>
        </w:tc>
      </w:tr>
      <w:tr w:rsidR="009F07D6" w14:paraId="3D61F35F" w14:textId="77777777">
        <w:tc>
          <w:tcPr>
            <w:tcW w:w="0" w:type="auto"/>
          </w:tcPr>
          <w:p w14:paraId="794084B0" w14:textId="49751F25" w:rsidR="009F07D6" w:rsidRDefault="00BD7B98">
            <w:pPr>
              <w:pStyle w:val="Compact"/>
            </w:pPr>
            <w:r>
              <w:t>Abr-2023</w:t>
            </w:r>
          </w:p>
        </w:tc>
        <w:tc>
          <w:tcPr>
            <w:tcW w:w="0" w:type="auto"/>
          </w:tcPr>
          <w:p w14:paraId="3B2F4AC6" w14:textId="77777777" w:rsidR="009F07D6" w:rsidRDefault="00023610">
            <w:pPr>
              <w:pStyle w:val="Compact"/>
              <w:jc w:val="right"/>
            </w:pPr>
            <w:r>
              <w:t>5936988357</w:t>
            </w:r>
          </w:p>
        </w:tc>
        <w:tc>
          <w:tcPr>
            <w:tcW w:w="0" w:type="auto"/>
          </w:tcPr>
          <w:p w14:paraId="20546B11" w14:textId="77777777" w:rsidR="009F07D6" w:rsidRDefault="00023610">
            <w:pPr>
              <w:pStyle w:val="Compact"/>
              <w:jc w:val="right"/>
            </w:pPr>
            <w:r>
              <w:t>5277277779</w:t>
            </w:r>
          </w:p>
        </w:tc>
        <w:tc>
          <w:tcPr>
            <w:tcW w:w="0" w:type="auto"/>
          </w:tcPr>
          <w:p w14:paraId="619C3C8C" w14:textId="77777777" w:rsidR="009F07D6" w:rsidRDefault="00023610">
            <w:pPr>
              <w:pStyle w:val="Compact"/>
              <w:jc w:val="right"/>
            </w:pPr>
            <w:r>
              <w:t>-12.7695</w:t>
            </w:r>
          </w:p>
        </w:tc>
        <w:tc>
          <w:tcPr>
            <w:tcW w:w="0" w:type="auto"/>
          </w:tcPr>
          <w:p w14:paraId="41CBAABD" w14:textId="77777777" w:rsidR="009F07D6" w:rsidRDefault="00023610">
            <w:pPr>
              <w:pStyle w:val="Compact"/>
              <w:jc w:val="right"/>
            </w:pPr>
            <w:r>
              <w:t>-16.8384</w:t>
            </w:r>
          </w:p>
        </w:tc>
      </w:tr>
      <w:tr w:rsidR="009F07D6" w14:paraId="6B8E7CEE" w14:textId="77777777">
        <w:tc>
          <w:tcPr>
            <w:tcW w:w="0" w:type="auto"/>
          </w:tcPr>
          <w:p w14:paraId="71C24DC3" w14:textId="604436D1" w:rsidR="009F07D6" w:rsidRDefault="00BD7B98">
            <w:pPr>
              <w:pStyle w:val="Compact"/>
            </w:pPr>
            <w:r>
              <w:t>Mai-2023</w:t>
            </w:r>
          </w:p>
        </w:tc>
        <w:tc>
          <w:tcPr>
            <w:tcW w:w="0" w:type="auto"/>
          </w:tcPr>
          <w:p w14:paraId="462E3244" w14:textId="77777777" w:rsidR="009F07D6" w:rsidRDefault="00023610">
            <w:pPr>
              <w:pStyle w:val="Compact"/>
              <w:jc w:val="right"/>
            </w:pPr>
            <w:r>
              <w:t>6792709201</w:t>
            </w:r>
          </w:p>
        </w:tc>
        <w:tc>
          <w:tcPr>
            <w:tcW w:w="0" w:type="auto"/>
          </w:tcPr>
          <w:p w14:paraId="754B416D" w14:textId="77777777" w:rsidR="009F07D6" w:rsidRDefault="00023610">
            <w:pPr>
              <w:pStyle w:val="Compact"/>
              <w:jc w:val="right"/>
            </w:pPr>
            <w:r>
              <w:t>6555939494</w:t>
            </w:r>
          </w:p>
        </w:tc>
        <w:tc>
          <w:tcPr>
            <w:tcW w:w="0" w:type="auto"/>
          </w:tcPr>
          <w:p w14:paraId="6319F3EC" w14:textId="77777777" w:rsidR="009F07D6" w:rsidRDefault="00023610">
            <w:pPr>
              <w:pStyle w:val="Compact"/>
              <w:jc w:val="right"/>
            </w:pPr>
            <w:r>
              <w:t>14.4134</w:t>
            </w:r>
          </w:p>
        </w:tc>
        <w:tc>
          <w:tcPr>
            <w:tcW w:w="0" w:type="auto"/>
          </w:tcPr>
          <w:p w14:paraId="75AF925A" w14:textId="77777777" w:rsidR="009F07D6" w:rsidRDefault="00023610">
            <w:pPr>
              <w:pStyle w:val="Compact"/>
              <w:jc w:val="right"/>
            </w:pPr>
            <w:r>
              <w:t>24.2296</w:t>
            </w:r>
          </w:p>
        </w:tc>
      </w:tr>
    </w:tbl>
    <w:p w14:paraId="545BA893" w14:textId="72D784B6" w:rsidR="00BD7B98" w:rsidRDefault="00023610">
      <w:pPr>
        <w:pStyle w:val="Corpodetexto"/>
      </w:pPr>
      <w:r>
        <w:t xml:space="preserve">Observa-se uma flutuação considerável mês a mês. Por exemplo, de janeiro para fevereiro de 2023, houve uma queda significativa tanto no </w:t>
      </w:r>
      <w:r>
        <w:rPr>
          <w:rStyle w:val="VerbatimChar"/>
        </w:rPr>
        <w:t>VL_FOB</w:t>
      </w:r>
      <w:r>
        <w:t xml:space="preserve"> (-15.65%) quanto no </w:t>
      </w:r>
      <w:r>
        <w:rPr>
          <w:rStyle w:val="VerbatimChar"/>
        </w:rPr>
        <w:t>KG_LIQUIDO</w:t>
      </w:r>
      <w:r>
        <w:t xml:space="preserve"> (-24.26%). No entanto, o mês de março de 2023 demonstrou uma forte recuperação, co</w:t>
      </w:r>
      <w:r>
        <w:t xml:space="preserve">m aumentos de 49.14% no </w:t>
      </w:r>
      <w:r>
        <w:rPr>
          <w:rStyle w:val="VerbatimChar"/>
        </w:rPr>
        <w:t>VL_FOB</w:t>
      </w:r>
      <w:r>
        <w:t xml:space="preserve"> e 71.75% no </w:t>
      </w:r>
      <w:r>
        <w:rPr>
          <w:rStyle w:val="VerbatimChar"/>
        </w:rPr>
        <w:t>KG_LIQUIDO</w:t>
      </w:r>
      <w:r>
        <w:t>. Essas variações podem indicar sazonalidade, eventos específicos do mercado ou fatores econômicos que impactam as transações em curtos períodos. Uma análise mais aprofundada com um calendário de eventos</w:t>
      </w:r>
      <w:r>
        <w:t xml:space="preserve"> e feriados pode revelar as causas dessas flutuações.</w:t>
      </w:r>
    </w:p>
    <w:p w14:paraId="510B2005" w14:textId="77777777" w:rsidR="00BD7B98" w:rsidRDefault="00BD7B98">
      <w:r>
        <w:br w:type="page"/>
      </w:r>
    </w:p>
    <w:p w14:paraId="5B5F01D1" w14:textId="77777777" w:rsidR="009F07D6" w:rsidRDefault="00023610">
      <w:pPr>
        <w:pStyle w:val="Ttulo3"/>
      </w:pPr>
      <w:bookmarkStart w:id="8" w:name="variação-anual"/>
      <w:r>
        <w:lastRenderedPageBreak/>
        <w:t>Variação Anual</w:t>
      </w:r>
      <w:bookmarkEnd w:id="8"/>
    </w:p>
    <w:p w14:paraId="66D596C6" w14:textId="77777777" w:rsidR="009F07D6" w:rsidRDefault="00023610">
      <w:pPr>
        <w:pStyle w:val="FirstParagraph"/>
      </w:pPr>
      <w:r>
        <w:t>A variação anual oferece uma perspectiva de longo prazo sobre o crescimento ou declínio das transações. A análise dos dados disponíveis para os anos de 2023 e 2024 revela:</w:t>
      </w:r>
    </w:p>
    <w:tbl>
      <w:tblPr>
        <w:tblStyle w:val="Table"/>
        <w:tblW w:w="0" w:type="pct"/>
        <w:tblLook w:val="07E0" w:firstRow="1" w:lastRow="1" w:firstColumn="1" w:lastColumn="1" w:noHBand="1" w:noVBand="1"/>
      </w:tblPr>
      <w:tblGrid>
        <w:gridCol w:w="1067"/>
        <w:gridCol w:w="1634"/>
        <w:gridCol w:w="2138"/>
        <w:gridCol w:w="2379"/>
        <w:gridCol w:w="2883"/>
      </w:tblGrid>
      <w:tr w:rsidR="009F07D6" w14:paraId="5BCEC002" w14:textId="77777777">
        <w:tc>
          <w:tcPr>
            <w:tcW w:w="0" w:type="auto"/>
            <w:tcBorders>
              <w:bottom w:val="single" w:sz="0" w:space="0" w:color="auto"/>
            </w:tcBorders>
            <w:vAlign w:val="bottom"/>
          </w:tcPr>
          <w:p w14:paraId="2B0620B1" w14:textId="77777777" w:rsidR="009F07D6" w:rsidRDefault="00023610">
            <w:pPr>
              <w:pStyle w:val="Compact"/>
              <w:jc w:val="right"/>
            </w:pPr>
            <w:r>
              <w:t>CO_ANO</w:t>
            </w:r>
          </w:p>
        </w:tc>
        <w:tc>
          <w:tcPr>
            <w:tcW w:w="0" w:type="auto"/>
            <w:tcBorders>
              <w:bottom w:val="single" w:sz="0" w:space="0" w:color="auto"/>
            </w:tcBorders>
            <w:vAlign w:val="bottom"/>
          </w:tcPr>
          <w:p w14:paraId="2520FC52" w14:textId="77777777" w:rsidR="009F07D6" w:rsidRDefault="00023610">
            <w:pPr>
              <w:pStyle w:val="Compact"/>
              <w:jc w:val="right"/>
            </w:pPr>
            <w:r>
              <w:t>Total_VL</w:t>
            </w:r>
            <w:r>
              <w:t>_FOB</w:t>
            </w:r>
          </w:p>
        </w:tc>
        <w:tc>
          <w:tcPr>
            <w:tcW w:w="0" w:type="auto"/>
            <w:tcBorders>
              <w:bottom w:val="single" w:sz="0" w:space="0" w:color="auto"/>
            </w:tcBorders>
            <w:vAlign w:val="bottom"/>
          </w:tcPr>
          <w:p w14:paraId="7D7C9D58" w14:textId="77777777" w:rsidR="009F07D6" w:rsidRDefault="00023610">
            <w:pPr>
              <w:pStyle w:val="Compact"/>
              <w:jc w:val="right"/>
            </w:pPr>
            <w:r>
              <w:t>Total_KG_LIQUIDO</w:t>
            </w:r>
          </w:p>
        </w:tc>
        <w:tc>
          <w:tcPr>
            <w:tcW w:w="0" w:type="auto"/>
            <w:tcBorders>
              <w:bottom w:val="single" w:sz="0" w:space="0" w:color="auto"/>
            </w:tcBorders>
            <w:vAlign w:val="bottom"/>
          </w:tcPr>
          <w:p w14:paraId="30AD24B8" w14:textId="77777777" w:rsidR="009F07D6" w:rsidRDefault="00023610">
            <w:pPr>
              <w:pStyle w:val="Compact"/>
              <w:jc w:val="right"/>
            </w:pPr>
            <w:r>
              <w:t>VL_FOB_VAR_ANUAL</w:t>
            </w:r>
          </w:p>
        </w:tc>
        <w:tc>
          <w:tcPr>
            <w:tcW w:w="0" w:type="auto"/>
            <w:tcBorders>
              <w:bottom w:val="single" w:sz="0" w:space="0" w:color="auto"/>
            </w:tcBorders>
            <w:vAlign w:val="bottom"/>
          </w:tcPr>
          <w:p w14:paraId="7D66621C" w14:textId="77777777" w:rsidR="009F07D6" w:rsidRDefault="00023610">
            <w:pPr>
              <w:pStyle w:val="Compact"/>
              <w:jc w:val="right"/>
            </w:pPr>
            <w:r>
              <w:t>KG_LIQUIDO_VAR_ANUAL</w:t>
            </w:r>
          </w:p>
        </w:tc>
      </w:tr>
      <w:tr w:rsidR="009F07D6" w14:paraId="135FA9F3" w14:textId="77777777">
        <w:tc>
          <w:tcPr>
            <w:tcW w:w="0" w:type="auto"/>
          </w:tcPr>
          <w:p w14:paraId="25A9060A" w14:textId="77777777" w:rsidR="009F07D6" w:rsidRDefault="00023610">
            <w:pPr>
              <w:pStyle w:val="Compact"/>
              <w:jc w:val="right"/>
            </w:pPr>
            <w:r>
              <w:t>2023</w:t>
            </w:r>
          </w:p>
        </w:tc>
        <w:tc>
          <w:tcPr>
            <w:tcW w:w="0" w:type="auto"/>
          </w:tcPr>
          <w:p w14:paraId="60596407" w14:textId="77777777" w:rsidR="009F07D6" w:rsidRDefault="00023610">
            <w:pPr>
              <w:pStyle w:val="Compact"/>
              <w:jc w:val="right"/>
            </w:pPr>
            <w:r>
              <w:t>7.59295e+10</w:t>
            </w:r>
          </w:p>
        </w:tc>
        <w:tc>
          <w:tcPr>
            <w:tcW w:w="0" w:type="auto"/>
          </w:tcPr>
          <w:p w14:paraId="605F5BCC" w14:textId="77777777" w:rsidR="009F07D6" w:rsidRDefault="00023610">
            <w:pPr>
              <w:pStyle w:val="Compact"/>
              <w:jc w:val="right"/>
            </w:pPr>
            <w:r>
              <w:t>7.11212e+10</w:t>
            </w:r>
          </w:p>
        </w:tc>
        <w:tc>
          <w:tcPr>
            <w:tcW w:w="0" w:type="auto"/>
          </w:tcPr>
          <w:p w14:paraId="45519998" w14:textId="77777777" w:rsidR="009F07D6" w:rsidRDefault="00023610">
            <w:pPr>
              <w:pStyle w:val="Compact"/>
              <w:jc w:val="right"/>
            </w:pPr>
            <w:r>
              <w:t>nan</w:t>
            </w:r>
          </w:p>
        </w:tc>
        <w:tc>
          <w:tcPr>
            <w:tcW w:w="0" w:type="auto"/>
          </w:tcPr>
          <w:p w14:paraId="667E390E" w14:textId="77777777" w:rsidR="009F07D6" w:rsidRDefault="00023610">
            <w:pPr>
              <w:pStyle w:val="Compact"/>
              <w:jc w:val="right"/>
            </w:pPr>
            <w:r>
              <w:t>nan</w:t>
            </w:r>
          </w:p>
        </w:tc>
      </w:tr>
      <w:tr w:rsidR="009F07D6" w14:paraId="5DEC428F" w14:textId="77777777">
        <w:tc>
          <w:tcPr>
            <w:tcW w:w="0" w:type="auto"/>
          </w:tcPr>
          <w:p w14:paraId="58079D47" w14:textId="77777777" w:rsidR="009F07D6" w:rsidRDefault="00023610">
            <w:pPr>
              <w:pStyle w:val="Compact"/>
              <w:jc w:val="right"/>
            </w:pPr>
            <w:r>
              <w:t>2024</w:t>
            </w:r>
          </w:p>
        </w:tc>
        <w:tc>
          <w:tcPr>
            <w:tcW w:w="0" w:type="auto"/>
          </w:tcPr>
          <w:p w14:paraId="37298A01" w14:textId="77777777" w:rsidR="009F07D6" w:rsidRDefault="00023610">
            <w:pPr>
              <w:pStyle w:val="Compact"/>
              <w:jc w:val="right"/>
            </w:pPr>
            <w:r>
              <w:t>7.61966e+10</w:t>
            </w:r>
          </w:p>
        </w:tc>
        <w:tc>
          <w:tcPr>
            <w:tcW w:w="0" w:type="auto"/>
          </w:tcPr>
          <w:p w14:paraId="4FA020B4" w14:textId="77777777" w:rsidR="009F07D6" w:rsidRDefault="00023610">
            <w:pPr>
              <w:pStyle w:val="Compact"/>
              <w:jc w:val="right"/>
            </w:pPr>
            <w:r>
              <w:t>7.1163e+10</w:t>
            </w:r>
          </w:p>
        </w:tc>
        <w:tc>
          <w:tcPr>
            <w:tcW w:w="0" w:type="auto"/>
          </w:tcPr>
          <w:p w14:paraId="4D137926" w14:textId="77777777" w:rsidR="009F07D6" w:rsidRDefault="00023610">
            <w:pPr>
              <w:pStyle w:val="Compact"/>
              <w:jc w:val="right"/>
            </w:pPr>
            <w:r>
              <w:t>0.351786</w:t>
            </w:r>
          </w:p>
        </w:tc>
        <w:tc>
          <w:tcPr>
            <w:tcW w:w="0" w:type="auto"/>
          </w:tcPr>
          <w:p w14:paraId="7F1B85E3" w14:textId="77777777" w:rsidR="009F07D6" w:rsidRDefault="00023610">
            <w:pPr>
              <w:pStyle w:val="Compact"/>
              <w:jc w:val="right"/>
            </w:pPr>
            <w:r>
              <w:t>0.0587598</w:t>
            </w:r>
          </w:p>
        </w:tc>
      </w:tr>
    </w:tbl>
    <w:p w14:paraId="4BC253C5" w14:textId="77777777" w:rsidR="009F07D6" w:rsidRDefault="00023610">
      <w:pPr>
        <w:pStyle w:val="Corpodetexto"/>
      </w:pPr>
      <w:r>
        <w:t xml:space="preserve">De 2023 para 2024, houve um crescimento modesto no </w:t>
      </w:r>
      <w:r>
        <w:rPr>
          <w:rStyle w:val="VerbatimChar"/>
        </w:rPr>
        <w:t>Total VL_FOB</w:t>
      </w:r>
      <w:r>
        <w:t xml:space="preserve"> de 0.35% e no </w:t>
      </w:r>
      <w:r>
        <w:rPr>
          <w:rStyle w:val="VerbatimChar"/>
        </w:rPr>
        <w:t>Total KG_LIQUIDO</w:t>
      </w:r>
      <w:r>
        <w:t xml:space="preserve"> de 0.06%. Embora o crescimento seja positivo, ele é relativamente baixo, sugerindo uma estabilização ou um crescimento lento nas transações gerais. É importante considerar que os dados de 2024 podem não estar completos, o que pode influenc</w:t>
      </w:r>
      <w:r>
        <w:t>iar essa percepção. Se os dados de 2024 estiverem incompletos, essa variação anual pode não ser representativa do desempenho total do ano. Uma análise mais precisa exigiria dados anuais completos ou a comparação de períodos equivalentes (por exemplo, Q1 de</w:t>
      </w:r>
      <w:r>
        <w:t xml:space="preserve"> 2023 vs. Q1 de 2024).</w:t>
      </w:r>
    </w:p>
    <w:p w14:paraId="79149503" w14:textId="77777777" w:rsidR="009F07D6" w:rsidRDefault="00023610">
      <w:pPr>
        <w:pStyle w:val="Ttulo2"/>
      </w:pPr>
      <w:bookmarkStart w:id="9" w:name="Xf9bc8bcc6e7d17ce1b3ee641b8495ba43468d08"/>
      <w:r>
        <w:t>Análise de Valor, KG_LIQUIDO e Valor Agregado Médio por Item</w:t>
      </w:r>
      <w:bookmarkEnd w:id="9"/>
    </w:p>
    <w:p w14:paraId="25A59C3D" w14:textId="77777777" w:rsidR="009F07D6" w:rsidRDefault="00023610">
      <w:pPr>
        <w:pStyle w:val="FirstParagraph"/>
      </w:pPr>
      <w:r>
        <w:t>Esta seção foca na granularidade dos produtos, analisando o valor agregado médio por item (</w:t>
      </w:r>
      <w:r>
        <w:rPr>
          <w:rStyle w:val="VerbatimChar"/>
        </w:rPr>
        <w:t>NO_SH4_POR</w:t>
      </w:r>
      <w:r>
        <w:t>). Este KPI é crucial para identificar quais tipos de produtos geram ma</w:t>
      </w:r>
      <w:r>
        <w:t>ior retorno por unidade de peso, independentemente do volume total transacionado.</w:t>
      </w:r>
    </w:p>
    <w:p w14:paraId="5D678548" w14:textId="77777777" w:rsidR="009F07D6" w:rsidRDefault="00023610">
      <w:pPr>
        <w:pStyle w:val="Ttulo3"/>
      </w:pPr>
      <w:bookmarkStart w:id="10" w:name="itens-com-maior-valor-agregado-médio"/>
      <w:r>
        <w:t>Itens com Maior Valor Agregado Médio</w:t>
      </w:r>
      <w:bookmarkEnd w:id="10"/>
    </w:p>
    <w:p w14:paraId="6771130A" w14:textId="77777777" w:rsidR="009F07D6" w:rsidRDefault="00023610">
      <w:pPr>
        <w:pStyle w:val="FirstParagraph"/>
      </w:pPr>
      <w:r>
        <w:t xml:space="preserve">Os itens com o maior </w:t>
      </w:r>
      <w:r>
        <w:rPr>
          <w:rStyle w:val="VerbatimChar"/>
        </w:rPr>
        <w:t>Valor_Medio_por_KG</w:t>
      </w:r>
      <w:r>
        <w:t xml:space="preserve"> são:</w:t>
      </w:r>
    </w:p>
    <w:tbl>
      <w:tblPr>
        <w:tblStyle w:val="Table"/>
        <w:tblW w:w="5000" w:type="pct"/>
        <w:tblLook w:val="07E0" w:firstRow="1" w:lastRow="1" w:firstColumn="1" w:lastColumn="1" w:noHBand="1" w:noVBand="1"/>
      </w:tblPr>
      <w:tblGrid>
        <w:gridCol w:w="7946"/>
        <w:gridCol w:w="2335"/>
      </w:tblGrid>
      <w:tr w:rsidR="009F07D6" w14:paraId="277FDE0B" w14:textId="77777777">
        <w:tc>
          <w:tcPr>
            <w:tcW w:w="0" w:type="auto"/>
            <w:tcBorders>
              <w:bottom w:val="single" w:sz="0" w:space="0" w:color="auto"/>
            </w:tcBorders>
            <w:vAlign w:val="bottom"/>
          </w:tcPr>
          <w:p w14:paraId="77F45872" w14:textId="77777777" w:rsidR="009F07D6" w:rsidRDefault="00023610">
            <w:pPr>
              <w:pStyle w:val="Compact"/>
            </w:pPr>
            <w:r>
              <w:t>NO_SH4_POR</w:t>
            </w:r>
          </w:p>
        </w:tc>
        <w:tc>
          <w:tcPr>
            <w:tcW w:w="0" w:type="auto"/>
            <w:tcBorders>
              <w:bottom w:val="single" w:sz="0" w:space="0" w:color="auto"/>
            </w:tcBorders>
            <w:vAlign w:val="bottom"/>
          </w:tcPr>
          <w:p w14:paraId="73F20A3E" w14:textId="77777777" w:rsidR="009F07D6" w:rsidRDefault="00023610">
            <w:pPr>
              <w:pStyle w:val="Compact"/>
              <w:jc w:val="right"/>
            </w:pPr>
            <w:r>
              <w:t>Valor_Medio_por_KG</w:t>
            </w:r>
          </w:p>
        </w:tc>
      </w:tr>
      <w:tr w:rsidR="009F07D6" w14:paraId="49C52D88" w14:textId="77777777">
        <w:tc>
          <w:tcPr>
            <w:tcW w:w="0" w:type="auto"/>
          </w:tcPr>
          <w:p w14:paraId="6F7606AA" w14:textId="77777777" w:rsidR="009F07D6" w:rsidRDefault="00023610">
            <w:pPr>
              <w:pStyle w:val="Compact"/>
            </w:pPr>
            <w:r>
              <w:t>Energia elétrica</w:t>
            </w:r>
          </w:p>
        </w:tc>
        <w:tc>
          <w:tcPr>
            <w:tcW w:w="0" w:type="auto"/>
          </w:tcPr>
          <w:p w14:paraId="1DEA8A37" w14:textId="77777777" w:rsidR="009F07D6" w:rsidRDefault="00023610">
            <w:pPr>
              <w:pStyle w:val="Compact"/>
              <w:jc w:val="right"/>
            </w:pPr>
            <w:r>
              <w:t>134190</w:t>
            </w:r>
          </w:p>
        </w:tc>
      </w:tr>
      <w:tr w:rsidR="009F07D6" w14:paraId="3F660B73" w14:textId="77777777">
        <w:tc>
          <w:tcPr>
            <w:tcW w:w="0" w:type="auto"/>
          </w:tcPr>
          <w:p w14:paraId="2C70942C" w14:textId="77777777" w:rsidR="009F07D6" w:rsidRDefault="00023610">
            <w:pPr>
              <w:pStyle w:val="Compact"/>
            </w:pPr>
            <w:r>
              <w:t>Âmbar-cinzento, castóreo, algália e almíscar; bílis, mesmo seca; glândulas e outras substâncias de origem animal utilizadas na preparação de produtos farmacêuticos, frescas, refrigeradas, congeladas ou provisoriamente conservadas de outro modo</w:t>
            </w:r>
          </w:p>
        </w:tc>
        <w:tc>
          <w:tcPr>
            <w:tcW w:w="0" w:type="auto"/>
          </w:tcPr>
          <w:p w14:paraId="75F126AF" w14:textId="77777777" w:rsidR="009F07D6" w:rsidRDefault="00023610">
            <w:pPr>
              <w:pStyle w:val="Compact"/>
              <w:jc w:val="right"/>
            </w:pPr>
            <w:r>
              <w:t>75010.4</w:t>
            </w:r>
          </w:p>
        </w:tc>
      </w:tr>
      <w:tr w:rsidR="009F07D6" w14:paraId="27DF346D" w14:textId="77777777">
        <w:tc>
          <w:tcPr>
            <w:tcW w:w="0" w:type="auto"/>
          </w:tcPr>
          <w:p w14:paraId="48D208A1" w14:textId="77777777" w:rsidR="009F07D6" w:rsidRDefault="00023610">
            <w:pPr>
              <w:pStyle w:val="Compact"/>
            </w:pPr>
            <w:r>
              <w:t>Our</w:t>
            </w:r>
            <w:r>
              <w:t>o (incluído o ouro platinado), em formas brutas ou semimanufacturadas, ou em pó</w:t>
            </w:r>
          </w:p>
        </w:tc>
        <w:tc>
          <w:tcPr>
            <w:tcW w:w="0" w:type="auto"/>
          </w:tcPr>
          <w:p w14:paraId="3CA1D7C3" w14:textId="77777777" w:rsidR="009F07D6" w:rsidRDefault="00023610">
            <w:pPr>
              <w:pStyle w:val="Compact"/>
              <w:jc w:val="right"/>
            </w:pPr>
            <w:r>
              <w:t>55180.7</w:t>
            </w:r>
          </w:p>
        </w:tc>
      </w:tr>
      <w:tr w:rsidR="009F07D6" w14:paraId="7077423F" w14:textId="77777777">
        <w:tc>
          <w:tcPr>
            <w:tcW w:w="0" w:type="auto"/>
          </w:tcPr>
          <w:p w14:paraId="38EAF23F" w14:textId="77777777" w:rsidR="009F07D6" w:rsidRDefault="00023610">
            <w:pPr>
              <w:pStyle w:val="Compact"/>
            </w:pPr>
            <w:r>
              <w:t>Isótopos não incluídos na posição 2844; seus compostos inorgânicos ou orgânicos, de constituição química definida ou não</w:t>
            </w:r>
          </w:p>
        </w:tc>
        <w:tc>
          <w:tcPr>
            <w:tcW w:w="0" w:type="auto"/>
          </w:tcPr>
          <w:p w14:paraId="285C1AA7" w14:textId="77777777" w:rsidR="009F07D6" w:rsidRDefault="00023610">
            <w:pPr>
              <w:pStyle w:val="Compact"/>
              <w:jc w:val="right"/>
            </w:pPr>
            <w:r>
              <w:t>33600</w:t>
            </w:r>
          </w:p>
        </w:tc>
      </w:tr>
      <w:tr w:rsidR="009F07D6" w14:paraId="0E704C03" w14:textId="77777777">
        <w:tc>
          <w:tcPr>
            <w:tcW w:w="0" w:type="auto"/>
          </w:tcPr>
          <w:p w14:paraId="2A3552F7" w14:textId="77777777" w:rsidR="009F07D6" w:rsidRDefault="00023610">
            <w:pPr>
              <w:pStyle w:val="Compact"/>
            </w:pPr>
            <w:r>
              <w:t>Relógios de pulso, relógios de bolso e relógios semelhantes (incluídos os contadores de tempo dos mesmos tipos), com caixa de me</w:t>
            </w:r>
            <w:r>
              <w:t>tais preciosos ou de metais folheados ou chapeados de metais preciosos</w:t>
            </w:r>
          </w:p>
        </w:tc>
        <w:tc>
          <w:tcPr>
            <w:tcW w:w="0" w:type="auto"/>
          </w:tcPr>
          <w:p w14:paraId="5ABC8CBE" w14:textId="77777777" w:rsidR="009F07D6" w:rsidRDefault="00023610">
            <w:pPr>
              <w:pStyle w:val="Compact"/>
              <w:jc w:val="right"/>
            </w:pPr>
            <w:r>
              <w:t>27407</w:t>
            </w:r>
          </w:p>
        </w:tc>
      </w:tr>
    </w:tbl>
    <w:p w14:paraId="0520D3A7" w14:textId="77777777" w:rsidR="009F07D6" w:rsidRDefault="00023610">
      <w:pPr>
        <w:pStyle w:val="Corpodetexto"/>
      </w:pPr>
      <w:r>
        <w:t xml:space="preserve">É notável que a “Energia elétrica” apresenta um </w:t>
      </w:r>
      <w:r>
        <w:rPr>
          <w:rStyle w:val="VerbatimChar"/>
        </w:rPr>
        <w:t>Valor_Medio_por_KG</w:t>
      </w:r>
      <w:r>
        <w:t xml:space="preserve"> extremamente alto, o que é esperado, pois seu valor é intrínseco e não diretamente ligado ao peso físico. Outro</w:t>
      </w:r>
      <w:r>
        <w:t>s itens de alto valor agregado incluem substâncias de origem animal para produtos farmacêuticos, ouro, isótopos e relógios de metais preciosos. Isso indica que o mercado está transacionando produtos de alto valor unitário, que podem ser nichos de mercado l</w:t>
      </w:r>
      <w:r>
        <w:t>ucrativos.</w:t>
      </w:r>
    </w:p>
    <w:p w14:paraId="576468DC" w14:textId="77777777" w:rsidR="009F07D6" w:rsidRDefault="00023610">
      <w:pPr>
        <w:pStyle w:val="Ttulo3"/>
      </w:pPr>
      <w:bookmarkStart w:id="11" w:name="itens-com-menor-valor-agregado-médio"/>
      <w:r>
        <w:lastRenderedPageBreak/>
        <w:t>Itens com Menor Valor Agregado Médio</w:t>
      </w:r>
      <w:bookmarkEnd w:id="11"/>
    </w:p>
    <w:p w14:paraId="4217ACCB" w14:textId="77777777" w:rsidR="009F07D6" w:rsidRDefault="00023610">
      <w:pPr>
        <w:pStyle w:val="FirstParagraph"/>
      </w:pPr>
      <w:r>
        <w:t xml:space="preserve">Por outro lado, os itens com o menor </w:t>
      </w:r>
      <w:r>
        <w:rPr>
          <w:rStyle w:val="VerbatimChar"/>
        </w:rPr>
        <w:t>Valor_Medio_por_KG</w:t>
      </w:r>
      <w:r>
        <w:t xml:space="preserve"> são:</w:t>
      </w:r>
    </w:p>
    <w:tbl>
      <w:tblPr>
        <w:tblStyle w:val="Table"/>
        <w:tblW w:w="5000" w:type="pct"/>
        <w:tblLook w:val="07E0" w:firstRow="1" w:lastRow="1" w:firstColumn="1" w:lastColumn="1" w:noHBand="1" w:noVBand="1"/>
      </w:tblPr>
      <w:tblGrid>
        <w:gridCol w:w="7946"/>
        <w:gridCol w:w="2335"/>
      </w:tblGrid>
      <w:tr w:rsidR="009F07D6" w14:paraId="363427EA" w14:textId="77777777">
        <w:tc>
          <w:tcPr>
            <w:tcW w:w="0" w:type="auto"/>
            <w:tcBorders>
              <w:bottom w:val="single" w:sz="0" w:space="0" w:color="auto"/>
            </w:tcBorders>
            <w:vAlign w:val="bottom"/>
          </w:tcPr>
          <w:p w14:paraId="214CBEAA" w14:textId="77777777" w:rsidR="009F07D6" w:rsidRDefault="00023610">
            <w:pPr>
              <w:pStyle w:val="Compact"/>
            </w:pPr>
            <w:r>
              <w:t>NO_SH4_POR</w:t>
            </w:r>
          </w:p>
        </w:tc>
        <w:tc>
          <w:tcPr>
            <w:tcW w:w="0" w:type="auto"/>
            <w:tcBorders>
              <w:bottom w:val="single" w:sz="0" w:space="0" w:color="auto"/>
            </w:tcBorders>
            <w:vAlign w:val="bottom"/>
          </w:tcPr>
          <w:p w14:paraId="183B4E36" w14:textId="77777777" w:rsidR="009F07D6" w:rsidRDefault="00023610">
            <w:pPr>
              <w:pStyle w:val="Compact"/>
              <w:jc w:val="right"/>
            </w:pPr>
            <w:r>
              <w:t>Valor_Medio_por_KG</w:t>
            </w:r>
          </w:p>
        </w:tc>
      </w:tr>
      <w:tr w:rsidR="009F07D6" w14:paraId="31F52386" w14:textId="77777777">
        <w:tc>
          <w:tcPr>
            <w:tcW w:w="0" w:type="auto"/>
          </w:tcPr>
          <w:p w14:paraId="09EBFBA0" w14:textId="77777777" w:rsidR="009F07D6" w:rsidRDefault="00023610">
            <w:pPr>
              <w:pStyle w:val="Compact"/>
            </w:pPr>
            <w:r>
              <w:t>Esboços de chapéus, entrançados ou obtidos por reunião de tiras de qualquer matéria, sem copa nem aba enformadas e s</w:t>
            </w:r>
            <w:r>
              <w:t>em guarnições, de palha fina (manila, panamá e semelhantes)</w:t>
            </w:r>
          </w:p>
        </w:tc>
        <w:tc>
          <w:tcPr>
            <w:tcW w:w="0" w:type="auto"/>
          </w:tcPr>
          <w:p w14:paraId="3D20E4C5" w14:textId="77777777" w:rsidR="009F07D6" w:rsidRDefault="00023610">
            <w:pPr>
              <w:pStyle w:val="Compact"/>
              <w:jc w:val="right"/>
            </w:pPr>
            <w:r>
              <w:t>0</w:t>
            </w:r>
          </w:p>
        </w:tc>
      </w:tr>
      <w:tr w:rsidR="009F07D6" w14:paraId="63A611A5" w14:textId="77777777">
        <w:tc>
          <w:tcPr>
            <w:tcW w:w="0" w:type="auto"/>
          </w:tcPr>
          <w:p w14:paraId="246089DF" w14:textId="77777777" w:rsidR="009F07D6" w:rsidRDefault="00023610">
            <w:pPr>
              <w:pStyle w:val="Compact"/>
            </w:pPr>
            <w:r>
              <w:t>Elementos químicos impurificados, para utilização eletrônica</w:t>
            </w:r>
          </w:p>
        </w:tc>
        <w:tc>
          <w:tcPr>
            <w:tcW w:w="0" w:type="auto"/>
          </w:tcPr>
          <w:p w14:paraId="269600B6" w14:textId="77777777" w:rsidR="009F07D6" w:rsidRDefault="00023610">
            <w:pPr>
              <w:pStyle w:val="Compact"/>
              <w:jc w:val="right"/>
            </w:pPr>
            <w:r>
              <w:t>0</w:t>
            </w:r>
          </w:p>
        </w:tc>
      </w:tr>
      <w:tr w:rsidR="009F07D6" w14:paraId="6E626CCE" w14:textId="77777777">
        <w:tc>
          <w:tcPr>
            <w:tcW w:w="0" w:type="auto"/>
          </w:tcPr>
          <w:p w14:paraId="74FFC460" w14:textId="77777777" w:rsidR="009F07D6" w:rsidRDefault="00023610">
            <w:pPr>
              <w:pStyle w:val="Compact"/>
            </w:pPr>
            <w:r>
              <w:t>Pedras sintéticas ou reconstituídas, mesmo trabalhadas ou combinadas, mas não enfiadas, nem montadas, nem engastadas; pedras sintéticas ou reconstituídas, não combinadas, enfiadas temporariamente para facilidade de transporte</w:t>
            </w:r>
          </w:p>
        </w:tc>
        <w:tc>
          <w:tcPr>
            <w:tcW w:w="0" w:type="auto"/>
          </w:tcPr>
          <w:p w14:paraId="131D8420" w14:textId="77777777" w:rsidR="009F07D6" w:rsidRDefault="00023610">
            <w:pPr>
              <w:pStyle w:val="Compact"/>
              <w:jc w:val="right"/>
            </w:pPr>
            <w:r>
              <w:t>0</w:t>
            </w:r>
          </w:p>
        </w:tc>
      </w:tr>
      <w:tr w:rsidR="009F07D6" w14:paraId="696F39D1" w14:textId="77777777">
        <w:tc>
          <w:tcPr>
            <w:tcW w:w="0" w:type="auto"/>
          </w:tcPr>
          <w:p w14:paraId="50F508FB" w14:textId="77777777" w:rsidR="009F07D6" w:rsidRDefault="00023610">
            <w:pPr>
              <w:pStyle w:val="Compact"/>
            </w:pPr>
            <w:r>
              <w:t>Linóleos, mesmo recortados;</w:t>
            </w:r>
            <w:r>
              <w:t xml:space="preserve"> revestimentos para pavimentos constituídos por um induto ou recobrimento aplicado sobre suporte têxtil, mesmo recortados</w:t>
            </w:r>
          </w:p>
        </w:tc>
        <w:tc>
          <w:tcPr>
            <w:tcW w:w="0" w:type="auto"/>
          </w:tcPr>
          <w:p w14:paraId="63665F9F" w14:textId="77777777" w:rsidR="009F07D6" w:rsidRDefault="00023610">
            <w:pPr>
              <w:pStyle w:val="Compact"/>
              <w:jc w:val="right"/>
            </w:pPr>
            <w:r>
              <w:t>0</w:t>
            </w:r>
          </w:p>
        </w:tc>
      </w:tr>
      <w:tr w:rsidR="009F07D6" w14:paraId="1FEA078D" w14:textId="77777777">
        <w:tc>
          <w:tcPr>
            <w:tcW w:w="0" w:type="auto"/>
          </w:tcPr>
          <w:p w14:paraId="6B09E5B5" w14:textId="77777777" w:rsidR="009F07D6" w:rsidRDefault="00023610">
            <w:pPr>
              <w:pStyle w:val="Compact"/>
            </w:pPr>
            <w:r>
              <w:t>Caldeiras para aquecimento central, exceto as da posição 8402</w:t>
            </w:r>
          </w:p>
        </w:tc>
        <w:tc>
          <w:tcPr>
            <w:tcW w:w="0" w:type="auto"/>
          </w:tcPr>
          <w:p w14:paraId="75BE4856" w14:textId="77777777" w:rsidR="009F07D6" w:rsidRDefault="00023610">
            <w:pPr>
              <w:pStyle w:val="Compact"/>
              <w:jc w:val="right"/>
            </w:pPr>
            <w:r>
              <w:t>0.17581</w:t>
            </w:r>
          </w:p>
        </w:tc>
      </w:tr>
    </w:tbl>
    <w:p w14:paraId="70306CE2" w14:textId="77777777" w:rsidR="009F07D6" w:rsidRDefault="00023610">
      <w:pPr>
        <w:pStyle w:val="Corpodetexto"/>
      </w:pPr>
      <w:r>
        <w:t xml:space="preserve">É importante notar que alguns itens apresentam </w:t>
      </w:r>
      <w:r>
        <w:rPr>
          <w:rStyle w:val="VerbatimChar"/>
        </w:rPr>
        <w:t>Valor_Medio_p</w:t>
      </w:r>
      <w:r>
        <w:rPr>
          <w:rStyle w:val="VerbatimChar"/>
        </w:rPr>
        <w:t>or_KG</w:t>
      </w:r>
      <w:r>
        <w:t xml:space="preserve"> igual a zero. Isso pode ocorrer devido a registros onde </w:t>
      </w:r>
      <w:r>
        <w:rPr>
          <w:rStyle w:val="VerbatimChar"/>
        </w:rPr>
        <w:t>KG_LIQUIDO</w:t>
      </w:r>
      <w:r>
        <w:t xml:space="preserve"> é zero, o que pode indicar dados ausentes ou erros de registro para esses itens. Para os itens com valores muito baixos, como “Caldeiras para aquecimento central”, isso sugere que são</w:t>
      </w:r>
      <w:r>
        <w:t xml:space="preserve"> produtos de alto volume e baixo valor unitário, ou que o peso é um fator menos relevante em sua precificação. Uma investigação sobre a qualidade dos dados para os itens com valor zero seria recomendada.</w:t>
      </w:r>
    </w:p>
    <w:p w14:paraId="0CCE10F1" w14:textId="14E97809" w:rsidR="00BD7B98" w:rsidRDefault="00023610">
      <w:pPr>
        <w:pStyle w:val="Corpodetexto"/>
      </w:pPr>
      <w:r>
        <w:t>Essa análise por item (</w:t>
      </w:r>
      <w:r>
        <w:rPr>
          <w:rStyle w:val="VerbatimChar"/>
        </w:rPr>
        <w:t>NO_SH4_POR</w:t>
      </w:r>
      <w:r>
        <w:t>) é fundamental par</w:t>
      </w:r>
      <w:r>
        <w:t>a estratégias de precificação, otimização de portfólio e identificação de oportunidades de mercado em produtos de alto valor agregado.</w:t>
      </w:r>
    </w:p>
    <w:p w14:paraId="5BAE9F20" w14:textId="77777777" w:rsidR="00BD7B98" w:rsidRDefault="00BD7B98">
      <w:r>
        <w:br w:type="page"/>
      </w:r>
    </w:p>
    <w:p w14:paraId="586CA452" w14:textId="77777777" w:rsidR="009F07D6" w:rsidRDefault="00023610">
      <w:pPr>
        <w:pStyle w:val="Ttulo2"/>
      </w:pPr>
      <w:bookmarkStart w:id="12" w:name="conclusão-e-insights-gerais"/>
      <w:r>
        <w:lastRenderedPageBreak/>
        <w:t>Conclusão e Insights Gerais</w:t>
      </w:r>
      <w:bookmarkEnd w:id="12"/>
    </w:p>
    <w:p w14:paraId="5AE8D586" w14:textId="77777777" w:rsidR="009F07D6" w:rsidRDefault="00023610">
      <w:pPr>
        <w:pStyle w:val="FirstParagraph"/>
      </w:pPr>
      <w:r>
        <w:t xml:space="preserve">A análise do arquivo </w:t>
      </w:r>
      <w:r>
        <w:rPr>
          <w:rStyle w:val="VerbatimChar"/>
        </w:rPr>
        <w:t>tabela_final.csv</w:t>
      </w:r>
      <w:r>
        <w:t xml:space="preserve"> por meio dos KPIs sugeridos revelou insights valiosos s</w:t>
      </w:r>
      <w:r>
        <w:t xml:space="preserve">obre as transações. A visão geral estabeleceu a magnitude das operações. A comparação entre municípios destacou a importância de centros como Santos e São Paulo em termos de volume e valor, mas também revelou municípios menores com alto valor agregado por </w:t>
      </w:r>
      <w:r>
        <w:t>quilograma, indicando oportunidades em nichos de mercado. A análise temporal mostrou a volatilidade mensal e um crescimento anual modesto, sugerindo a necessidade de investigações mais aprofundadas sobre sazonalidade e fatores macroeconômicos. Por fim, a a</w:t>
      </w:r>
      <w:r>
        <w:t>nálise por item (</w:t>
      </w:r>
      <w:r>
        <w:rPr>
          <w:rStyle w:val="VerbatimChar"/>
        </w:rPr>
        <w:t>NO_SH4_POR</w:t>
      </w:r>
      <w:r>
        <w:t xml:space="preserve">) identificou produtos de altíssimo valor agregado, como energia elétrica e ouro, e também apontou para a necessidade de verificação da qualidade dos dados para itens com </w:t>
      </w:r>
      <w:r>
        <w:rPr>
          <w:rStyle w:val="VerbatimChar"/>
        </w:rPr>
        <w:t>KG_LIQUIDO</w:t>
      </w:r>
      <w:r>
        <w:t xml:space="preserve"> zero.</w:t>
      </w:r>
    </w:p>
    <w:p w14:paraId="3154598F" w14:textId="77777777" w:rsidR="009F07D6" w:rsidRDefault="00023610">
      <w:pPr>
        <w:pStyle w:val="Corpodetexto"/>
      </w:pPr>
      <w:r>
        <w:rPr>
          <w:b/>
        </w:rPr>
        <w:t>Principais Insights:</w:t>
      </w:r>
    </w:p>
    <w:p w14:paraId="0BFCA1A9" w14:textId="77777777" w:rsidR="009F07D6" w:rsidRDefault="00023610">
      <w:pPr>
        <w:pStyle w:val="Compact"/>
        <w:numPr>
          <w:ilvl w:val="0"/>
          <w:numId w:val="3"/>
        </w:numPr>
      </w:pPr>
      <w:r>
        <w:rPr>
          <w:b/>
        </w:rPr>
        <w:t>Diversidade Regional</w:t>
      </w:r>
      <w:r>
        <w:rPr>
          <w:b/>
        </w:rPr>
        <w:t>:</w:t>
      </w:r>
      <w:r>
        <w:t xml:space="preserve"> Embora grandes centros dominem o volume e o valor total, municípios menores podem ser focos de transações de alto valor agregado, indicando especialização ou nichos de mercado.</w:t>
      </w:r>
    </w:p>
    <w:p w14:paraId="75D29AA5" w14:textId="77777777" w:rsidR="009F07D6" w:rsidRDefault="00023610">
      <w:pPr>
        <w:pStyle w:val="Compact"/>
        <w:numPr>
          <w:ilvl w:val="0"/>
          <w:numId w:val="3"/>
        </w:numPr>
      </w:pPr>
      <w:r>
        <w:rPr>
          <w:b/>
        </w:rPr>
        <w:t>Volatilidade Mensal:</w:t>
      </w:r>
      <w:r>
        <w:t xml:space="preserve"> As flutuações mensais significativas exigem um monitoram</w:t>
      </w:r>
      <w:r>
        <w:t>ento contínuo e uma análise de causa raiz para entender os fatores que as impulsionam (sazonalidade, eventos de mercado, etc.).</w:t>
      </w:r>
    </w:p>
    <w:p w14:paraId="2B83AC5F" w14:textId="77777777" w:rsidR="009F07D6" w:rsidRDefault="00023610">
      <w:pPr>
        <w:pStyle w:val="Compact"/>
        <w:numPr>
          <w:ilvl w:val="0"/>
          <w:numId w:val="3"/>
        </w:numPr>
      </w:pPr>
      <w:r>
        <w:rPr>
          <w:b/>
        </w:rPr>
        <w:t>Crescimento Moderado:</w:t>
      </w:r>
      <w:r>
        <w:t xml:space="preserve"> O crescimento anual, embora positivo, é modesto. Isso pode indicar um mercado em estabilização ou a necess</w:t>
      </w:r>
      <w:r>
        <w:t>idade de explorar novas estratégias para impulsionar um crescimento mais acelerado.</w:t>
      </w:r>
    </w:p>
    <w:p w14:paraId="757878DF" w14:textId="77777777" w:rsidR="009F07D6" w:rsidRDefault="00023610">
      <w:pPr>
        <w:pStyle w:val="Compact"/>
        <w:numPr>
          <w:ilvl w:val="0"/>
          <w:numId w:val="3"/>
        </w:numPr>
      </w:pPr>
      <w:r>
        <w:rPr>
          <w:b/>
        </w:rPr>
        <w:t>Oportunidades de Alto Valor Agregado:</w:t>
      </w:r>
      <w:r>
        <w:t xml:space="preserve"> A identificação de produtos com alto </w:t>
      </w:r>
      <w:r>
        <w:rPr>
          <w:rStyle w:val="VerbatimChar"/>
        </w:rPr>
        <w:t>Valor_Medio_por_KG</w:t>
      </w:r>
      <w:r>
        <w:t xml:space="preserve"> </w:t>
      </w:r>
      <w:r>
        <w:t>pode guiar estratégias de investimento, desenvolvimento de produtos e marketing, focando em segmentos mais lucrativos.</w:t>
      </w:r>
    </w:p>
    <w:p w14:paraId="29C20457" w14:textId="77777777" w:rsidR="009F07D6" w:rsidRDefault="00023610">
      <w:pPr>
        <w:pStyle w:val="Compact"/>
        <w:numPr>
          <w:ilvl w:val="0"/>
          <w:numId w:val="3"/>
        </w:numPr>
      </w:pPr>
      <w:r>
        <w:rPr>
          <w:b/>
        </w:rPr>
        <w:t>Qualidade dos Dados:</w:t>
      </w:r>
      <w:r>
        <w:t xml:space="preserve"> A presença de </w:t>
      </w:r>
      <w:r>
        <w:rPr>
          <w:rStyle w:val="VerbatimChar"/>
        </w:rPr>
        <w:t>KG_LIQUIDO</w:t>
      </w:r>
      <w:r>
        <w:t xml:space="preserve"> zero para alguns itens ressalta a importância da validação e limpeza dos dados para garanti</w:t>
      </w:r>
      <w:r>
        <w:t>r a precisão das análises.</w:t>
      </w:r>
    </w:p>
    <w:p w14:paraId="132D44DE" w14:textId="77777777" w:rsidR="009F07D6" w:rsidRDefault="00023610">
      <w:pPr>
        <w:pStyle w:val="FirstParagraph"/>
      </w:pPr>
      <w:r>
        <w:rPr>
          <w:b/>
        </w:rPr>
        <w:t>Recomendações:</w:t>
      </w:r>
    </w:p>
    <w:p w14:paraId="01D4CA80" w14:textId="77777777" w:rsidR="009F07D6" w:rsidRDefault="00023610">
      <w:pPr>
        <w:pStyle w:val="Compact"/>
        <w:numPr>
          <w:ilvl w:val="0"/>
          <w:numId w:val="4"/>
        </w:numPr>
      </w:pPr>
      <w:r>
        <w:rPr>
          <w:b/>
        </w:rPr>
        <w:t>Análise de</w:t>
      </w:r>
      <w:r>
        <w:rPr>
          <w:b/>
        </w:rPr>
        <w:t xml:space="preserve"> Sazonalidade:</w:t>
      </w:r>
      <w:r>
        <w:t xml:space="preserve"> Aprofundar a análise temporal, correlacionando as flutuações com eventos externos, feriados e períodos sazonais específicos.</w:t>
      </w:r>
    </w:p>
    <w:p w14:paraId="5B694E8A" w14:textId="77777777" w:rsidR="009F07D6" w:rsidRDefault="00023610">
      <w:pPr>
        <w:pStyle w:val="Compact"/>
        <w:numPr>
          <w:ilvl w:val="0"/>
          <w:numId w:val="4"/>
        </w:numPr>
      </w:pPr>
      <w:r>
        <w:rPr>
          <w:b/>
        </w:rPr>
        <w:t>Investigação de Nichos:</w:t>
      </w:r>
      <w:r>
        <w:t xml:space="preserve"> </w:t>
      </w:r>
      <w:r>
        <w:t>Realizar estudos de mercado para os municípios e itens com alto valor agregado por KG, a fim de entender as dinâmicas desses mercados e identificar oportunidades de expansão.</w:t>
      </w:r>
    </w:p>
    <w:p w14:paraId="1874E40B" w14:textId="77777777" w:rsidR="00BD7B98" w:rsidRDefault="00BD7B98">
      <w:pPr>
        <w:pStyle w:val="FirstParagraph"/>
      </w:pPr>
    </w:p>
    <w:p w14:paraId="28F8E7C0" w14:textId="551B6EC2" w:rsidR="009F07D6" w:rsidRDefault="00023610">
      <w:pPr>
        <w:pStyle w:val="FirstParagraph"/>
      </w:pPr>
      <w:bookmarkStart w:id="13" w:name="_GoBack"/>
      <w:bookmarkEnd w:id="13"/>
      <w:r>
        <w:t>Este relatório serve como um ponto de partida para uma compreensão mais profunda dos dados de transações, fornecendo insights ac</w:t>
      </w:r>
      <w:r>
        <w:t>ionáveis para tomadas de decisão estratégicas.</w:t>
      </w:r>
    </w:p>
    <w:sectPr w:rsidR="009F07D6" w:rsidSect="00BD7B98">
      <w:pgSz w:w="12240" w:h="15840"/>
      <w:pgMar w:top="1417" w:right="474"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08A5A" w14:textId="77777777" w:rsidR="00023610" w:rsidRDefault="00023610">
      <w:pPr>
        <w:spacing w:after="0"/>
      </w:pPr>
      <w:r>
        <w:separator/>
      </w:r>
    </w:p>
  </w:endnote>
  <w:endnote w:type="continuationSeparator" w:id="0">
    <w:p w14:paraId="58E7592F" w14:textId="77777777" w:rsidR="00023610" w:rsidRDefault="000236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64648" w14:textId="77777777" w:rsidR="00023610" w:rsidRDefault="00023610">
      <w:r>
        <w:separator/>
      </w:r>
    </w:p>
  </w:footnote>
  <w:footnote w:type="continuationSeparator" w:id="0">
    <w:p w14:paraId="3D8B4D29" w14:textId="77777777" w:rsidR="00023610" w:rsidRDefault="000236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05266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2C6F4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D241F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3610"/>
    <w:rsid w:val="004E29B3"/>
    <w:rsid w:val="00590D07"/>
    <w:rsid w:val="00784D58"/>
    <w:rsid w:val="008D6863"/>
    <w:rsid w:val="009F07D6"/>
    <w:rsid w:val="00B86B75"/>
    <w:rsid w:val="00BC48D5"/>
    <w:rsid w:val="00BD7B98"/>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61EE"/>
  <w15:docId w15:val="{3B80496D-4BDB-44A8-ABEE-5AE06882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1841</Words>
  <Characters>9944</Characters>
  <Application>Microsoft Office Word</Application>
  <DocSecurity>0</DocSecurity>
  <Lines>82</Lines>
  <Paragraphs>23</Paragraphs>
  <ScaleCrop>false</ScaleCrop>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Marco Rangel</cp:lastModifiedBy>
  <cp:revision>2</cp:revision>
  <dcterms:created xsi:type="dcterms:W3CDTF">2025-06-17T10:08:00Z</dcterms:created>
  <dcterms:modified xsi:type="dcterms:W3CDTF">2025-06-17T10:16:00Z</dcterms:modified>
</cp:coreProperties>
</file>