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32"/>
        </w:rPr>
        <w:t>Carolina Hedman</w:t>
        <w:br/>
      </w:r>
      <w:r>
        <w:rPr>
          <w:i/>
        </w:rPr>
        <w:t>Swedish Climate Pact Ambassador (EU)</w:t>
        <w:br/>
        <w:t>Founder &amp; CEO – Globalyx | President – VRARA Sweden | Country Director – Women in Tech Global (Sweden)</w:t>
        <w:br/>
        <w:t>Senior Fellow – AIFOD | Member – CTCN (UN Climate Technology Centre &amp; Network)</w:t>
      </w:r>
    </w:p>
    <w:p>
      <w:pPr>
        <w:jc w:val="center"/>
      </w:pPr>
      <w:r>
        <w:t>📍 Stockholm, Sweden | 📧 caro@dtswe.com | 🌐 www.globalyx.com | www.climatelivinglab.org</w:t>
      </w:r>
    </w:p>
    <w:p>
      <w:pPr>
        <w:pStyle w:val="Heading2"/>
      </w:pPr>
      <w:r>
        <w:t>Professional Overview</w:t>
      </w:r>
    </w:p>
    <w:p>
      <w:pPr>
        <w:spacing w:after="120"/>
      </w:pPr>
      <w:r>
        <w:t>EU Climate Pact Ambassador, XR &amp; AI expert, and international advisor on technology ethics and climate innovation. Connects digital transformation, education, and regenerative development across Europe and Latin America through immersive and data-driven ecosystems.</w:t>
      </w:r>
    </w:p>
    <w:p>
      <w:pPr>
        <w:pStyle w:val="Heading2"/>
      </w:pPr>
      <w:r>
        <w:t>Leadership Roles</w:t>
      </w:r>
    </w:p>
    <w:p>
      <w:pPr>
        <w:spacing w:after="120"/>
      </w:pPr>
      <w:r>
        <w:t>CEO, Globalyx | President, VRARA Sweden | Country Director, Women in Tech Global – Sweden | Senior Fellow, AIFOD – UN | Member, CTCN – UN | Mentor, Meta XR Immersive Games | Director, Flow Project – EU Women in Tech Initiative</w:t>
      </w:r>
    </w:p>
    <w:p>
      <w:pPr>
        <w:pStyle w:val="Heading2"/>
      </w:pPr>
      <w:r>
        <w:t>Recognitions &amp; Awards</w:t>
      </w:r>
    </w:p>
    <w:p>
      <w:pPr>
        <w:spacing w:after="120"/>
      </w:pPr>
      <w:r>
        <w:t>• Finalist – Agritech Málaga Awards (Spain)</w:t>
        <w:br/>
        <w:t>• Winner – B2B Connecta Latin America</w:t>
        <w:br/>
        <w:t>• Nominee – Golden DeFi Award (Fintech Americas, Miami 2025)</w:t>
        <w:br/>
        <w:t>• Finalist – World Summit Awards (WSA)</w:t>
        <w:br/>
        <w:t>• Nominee – European Prize for Women Innovators 2026 (EIC)</w:t>
        <w:br/>
        <w:t>• Participant – Horizon Europe EIC Accelerator (Harvverse, KaffeJord, ScandiBox)</w:t>
      </w:r>
    </w:p>
    <w:p>
      <w:pPr>
        <w:pStyle w:val="Heading2"/>
      </w:pPr>
      <w:r>
        <w:t>Areas of Expertise</w:t>
      </w:r>
    </w:p>
    <w:p>
      <w:pPr>
        <w:spacing w:after="120"/>
      </w:pPr>
      <w:r>
        <w:t>Climate innovation &amp; regenerative design | AI ethics &amp; immersive tech (XR / VR / AR / MR) | Circular economy &amp; data-driven agriculture | Sustainable education &amp; leadership | Web3 ecosystems &amp; tokenomics</w:t>
      </w:r>
    </w:p>
    <w:p>
      <w:pPr>
        <w:pStyle w:val="Heading2"/>
      </w:pPr>
      <w:r>
        <w:t>Flagship Projects</w:t>
      </w:r>
    </w:p>
    <w:p>
      <w:pPr>
        <w:spacing w:after="120"/>
      </w:pPr>
      <w:r>
        <w:t>Harvverse – Data-driven metaverse for sustainable agriculture (EIC nominated)</w:t>
        <w:br/>
        <w:t>KaffeJord – Arctic regenerative coffee innovation (Vinnova project)</w:t>
        <w:br/>
        <w:t>Flow – Immersive wellbeing and AI emotional systems</w:t>
        <w:br/>
        <w:t>Doctor 7 – XR platform for digital mental health</w:t>
        <w:br/>
        <w:t>Climate Living Labs – Regenerative ecosystems connecting Europe &amp; Latin America</w:t>
      </w:r>
    </w:p>
    <w:p>
      <w:pPr>
        <w:pStyle w:val="Heading2"/>
      </w:pPr>
      <w:r>
        <w:t>Quote</w:t>
      </w:r>
    </w:p>
    <w:p>
      <w:pPr>
        <w:spacing w:after="120"/>
      </w:pPr>
      <w:r>
        <w:t>“Regeneration is not a goal — it’s a rhythm we learn to live by.”</w:t>
      </w:r>
    </w:p>
    <w:p>
      <w:pPr>
        <w:pStyle w:val="Heading2"/>
      </w:pPr>
      <w:r>
        <w:t>Languages</w:t>
      </w:r>
    </w:p>
    <w:p>
      <w:pPr>
        <w:spacing w:after="120"/>
      </w:pPr>
      <w:r>
        <w:t>English – Fluent | Spanish – Fluent | Swedish – Native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Official Profile – Climate Living Labs Ambassador Network 2025 | © Globalyx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</w:rPr>
      <w:t>🌱 Climate Living Labs Ambassador Network 2025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