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tbl><w:tblPr><w:tblW w:type="dxa" w:w="9360"/><w:tblBorders><w:top w:val="none" w:color="FFFFFF" w:sz="0"/><w:left w:val="none" w:color="FFFFFF" w:sz="0"/><w:bottom w:val="none" w:color="FFFFFF" w:sz="0"/><w:right w:val="none" w:color="FFFFFF" w:sz="0"/><w:insideH w:val="none" w:color="FFFFFF" w:sz="0"/><w:insideV w:val="none" w:color="FFFFFF" w:sz="0"/></w:tblBorders></w:tblPr><w:tblGrid><w:gridCol w:w="9360"/></w:tblGrid><w:tr><w:trPr><w:cantSplit/></w:trP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064e3b" w:color="auto" w:val="clear"/><w:tcMar><w:top w:type="dxa" w:w="200"/><w:left w:type="dxa" w:w="220"/><w:bottom w:type="dxa" w:w="200"/><w:right w:type="dxa" w:w="220"/></w:tcMar><w:vAlign w:val="center"/></w:tcPr><w:p><w:pPr><w:keepNext/><w:keepLines/><w:spacing w:after="40" w:before="0" w:line="200"/><w:jc w:val="left"/></w:pPr><w:r><w:rPr><w:rFonts w:ascii="Consolas" w:cs="Consolas" w:eastAsia="Consolas" w:hAnsi="Consolas"/><w:b/><w:bCs/><w:i w:val="false"/><w:iCs w:val="false"/><w:color w:val="a7f3d0"/><w:sz w:val="16"/><w:szCs w:val="16"/></w:rPr><w:t xml:space="preserve">PAST PERFORMANCE REFERENCE</w:t></w:r></w:p><w:p><w:pPr><w:keepNext/><w:keepLines/><w:spacing w:after="50" w:before="0" w:line="280"/><w:jc w:val="left"/></w:pPr><w:r><w:rPr><w:rFonts w:ascii="Calibri" w:cs="Calibri" w:eastAsia="Calibri" w:hAnsi="Calibri"/><w:b/><w:bCs/><w:i w:val="false"/><w:iCs w:val="false"/><w:color w:val="ffffff"/><w:sz w:val="28"/><w:szCs w:val="28"/></w:rPr><w:t xml:space="preserve">Federal Lead Kit — Janitorial Services  ·  VA Medical Center Custodial Contract</w:t></w:r></w:p><w:p><w:pPr><w:keepNext w:val="false"/><w:keepLines/><w:spacing w:after="0" w:before="0" w:line="240"/><w:jc w:val="left"/></w:pPr><w:r><w:rPr><w:rFonts w:ascii="Calibri" w:cs="Calibri" w:eastAsia="Calibri" w:hAnsi="Calibri"/><w:b w:val="false"/><w:bCs w:val="false"/><w:i w:val="false"/><w:iCs w:val="false"/><w:color w:val="a7f3d0"/><w:sz w:val="20"/><w:szCs w:val="20"/></w:rPr><w:t xml:space="preserve">Apex Custodial Solutions, LLC  ·  SDVOSB  ·  NAICS 561720  ·  CAGE 7RXV2  ·  UEI AXCS56172089VA</w:t></w:r></w:p></w:tc></w:tr></w:tbl><w:p><w:pPr><w:keepNext w:val="false"/><w:keepLines/><w:spacing w:after="20" w:before="0" w:line="80"/><w:jc w:val="left"/></w:pPr><w:r><w:rPr><w:rFonts w:ascii="Calibri" w:cs="Calibri" w:eastAsia="Calibri" w:hAnsi="Calibri"/><w:b w:val="false"/><w:bCs w:val="false"/><w:i w:val="false"/><w:iCs w:val="false"/><w:color w:val="0f172a"/><w:sz w:val="20"/><w:szCs w:val="20"/></w:rPr><w:t xml:space="preserve"></w:t></w:r></w:p><w:tbl><w:tblPr><w:tblW w:type="dxa" w:w="9360"/><w:tblBorders><w:top w:val="none" w:color="FFFFFF" w:sz="0"/><w:left w:val="none" w:color="FFFFFF" w:sz="0"/><w:bottom w:val="none" w:color="FFFFFF" w:sz="0"/><w:right w:val="none" w:color="FFFFFF" w:sz="0"/><w:insideH w:val="none" w:color="FFFFFF" w:sz="0"/><w:insideV w:val="none" w:color="FFFFFF" w:sz="0"/></w:tblBorders></w:tblPr><w:tblGrid><w:gridCol w:w="9360"/></w:tblGrid><w:tr><w:trPr><w:cantSplit/></w:trP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064e3b" w:color="auto" w:val="clear"/><w:tcMar><w:top w:type="dxa" w:w="80"/><w:left w:type="dxa" w:w="160"/><w:bottom w:type="dxa" w:w="80"/><w:right w:type="dxa" w:w="160"/></w:tcMar><w:vAlign w:val="center"/></w:tcPr><w:p><w:pPr><w:keepNext w:val="false"/><w:keepLines/><w:spacing w:after="0" w:before="0" w:line="220"/><w:jc w:val="left"/></w:pPr><w:r><w:rPr><w:rFonts w:ascii="Consolas" w:cs="Consolas" w:eastAsia="Consolas" w:hAnsi="Consolas"/><w:b/><w:bCs/><w:i w:val="false"/><w:iCs w:val="false"/><w:color w:val="ffffff"/><w:sz w:val="22"/><w:szCs w:val="22"/></w:rPr><w:t xml:space="preserve">SECTION 1 — CONTRACT OVERVIEW</w:t></w:r></w:p></w:tc></w:tr></w:tbl><w:p><w:pPr><w:keepNext w:val="false"/><w:keepLines/><w:spacing w:after="8" w:before="0" w:line="80"/><w:jc w:val="left"/></w:pPr><w:r><w:rPr><w:rFonts w:ascii="Calibri" w:cs="Calibri" w:eastAsia="Calibri" w:hAnsi="Calibri"/><w:b w:val="false"/><w:bCs w:val="false"/><w:i w:val="false"/><w:iCs w:val="false"/><w:color w:val="0f172a"/><w:sz w:val="8"/><w:szCs w:val="8"/></w:rPr><w:t xml:space="preserve"></w:t></w:r></w:p><w:tbl><w:tblPr><w:tblW w:type="dxa" w:w="9360"/><w:tblBorders><w:top w:val="single" w:color="cbd5e1" w:sz="4"/><w:left w:val="single" w:color="cbd5e1" w:sz="4"/><w:bottom w:val="single" w:color="cbd5e1" w:sz="4"/><w:right w:val="single" w:color="cbd5e1" w:sz="4"/><w:insideH w:val="single" w:color="cbd5e1" w:sz="4"/><w:insideV w:val="single" w:color="cbd5e1" w:sz="4"/></w:tblBorders></w:tblPr><w:tblGrid><w:gridCol w:w="2500"/><w:gridCol w:w="6860"/></w:tblGrid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Contract Number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VA258-19-C-0047</w:t></w:r></w:p></w:tc></w:tr><w:tr><w:trPr><w:cantSplit/></w:trPr><w:tc><w:tcPr><w:tcW w:type="dxa" w:w="2500"/><w:shd w:fill="f0fdf4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Contract Title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Custodial Services — VA Phoenix Health Care System (Main Campus + 4 CBOCs)</w:t></w:r></w:p></w:tc></w:tr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Agency / Customer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Department of Veterans Affairs — Phoenix Health Care System (VISN 18)</w:t></w:r></w:p></w:tc></w:tr><w:tr><w:trPr><w:cantSplit/></w:trPr><w:tc><w:tcPr><w:tcW w:type="dxa" w:w="2500"/><w:shd w:fill="f0fdf4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Contracting Office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VA Phoenix HCS, Network Contracting Office 18, 650 E. Indian School Rd, Phoenix AZ 85012</w:t></w:r></w:p></w:tc></w:tr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NAICS Code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561720 — Janitorial Services</w:t></w:r></w:p></w:tc></w:tr><w:tr><w:trPr><w:cantSplit/></w:trPr><w:tc><w:tcPr><w:tcW w:type="dxa" w:w="2500"/><w:shd w:fill="f0fdf4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PSC Code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S201 — Custodial Janitorial Services</w:t></w:r></w:p></w:tc></w:tr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Set-Aside Type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SDVOSB Sole-Source (FAR 19.1406 — below SAP threshold, extended via modifications)</w:t></w:r></w:p></w:tc></w:tr><w:tr><w:trPr><w:cantSplit/></w:trPr><w:tc><w:tcPr><w:tcW w:type="dxa" w:w="2500"/><w:shd w:fill="f0fdf4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Base Contract Value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$1,950,000 (3-year base: Oct 2019 – Sep 2022)</w:t></w:r></w:p></w:tc></w:tr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Total w/ Modifications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$2,400,000 (Mod P00001 added CBOC #4, Mod P00002 extended 12 months through Sep 2023)</w:t></w:r></w:p></w:tc></w:tr><w:tr><w:trPr><w:cantSplit/></w:trPr><w:tc><w:tcPr><w:tcW w:type="dxa" w:w="2500"/><w:shd w:fill="f0fdf4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Period of Performance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October 1, 2019 – September 30, 2024 (base + 2 option years exercised via IGCE review)</w:t></w:r></w:p></w:tc></w:tr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Contract Type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Firm-Fixed-Price (FFP), performance-based statement of work</w:t></w:r></w:p></w:tc></w:tr><w:tr><w:trPr><w:cantSplit/></w:trPr><w:tc><w:tcPr><w:tcW w:type="dxa" w:w="2500"/><w:shd w:fill="f0fdf4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Clearances Required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Background Investigation (BI) / Tier 1 — all custodial staff; contractor PM held PIV card</w:t></w:r></w:p></w:tc></w:tr></w:tbl><w:p><w:pPr><w:keepNext w:val="false"/><w:keepLines/><w:spacing w:after="20" w:before="0" w:line="80"/><w:jc w:val="left"/></w:pPr><w:r><w:rPr><w:rFonts w:ascii="Calibri" w:cs="Calibri" w:eastAsia="Calibri" w:hAnsi="Calibri"/><w:b w:val="false"/><w:bCs w:val="false"/><w:i w:val="false"/><w:iCs w:val="false"/><w:color w:val="0f172a"/><w:sz w:val="20"/><w:szCs w:val="20"/></w:rPr><w:t xml:space="preserve"></w:t></w:r></w:p><w:tbl><w:tblPr><w:tblW w:type="dxa" w:w="9360"/><w:tblBorders><w:top w:val="none" w:color="FFFFFF" w:sz="0"/><w:left w:val="none" w:color="FFFFFF" w:sz="0"/><w:bottom w:val="none" w:color="FFFFFF" w:sz="0"/><w:right w:val="none" w:color="FFFFFF" w:sz="0"/><w:insideH w:val="none" w:color="FFFFFF" w:sz="0"/><w:insideV w:val="none" w:color="FFFFFF" w:sz="0"/></w:tblBorders></w:tblPr><w:tblGrid><w:gridCol w:w="9360"/></w:tblGrid><w:tr><w:trPr><w:cantSplit/></w:trP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064e3b" w:color="auto" w:val="clear"/><w:tcMar><w:top w:type="dxa" w:w="80"/><w:left w:type="dxa" w:w="160"/><w:bottom w:type="dxa" w:w="80"/><w:right w:type="dxa" w:w="160"/></w:tcMar><w:vAlign w:val="center"/></w:tcPr><w:p><w:pPr><w:keepNext w:val="false"/><w:keepLines/><w:spacing w:after="0" w:before="0" w:line="220"/><w:jc w:val="left"/></w:pPr><w:r><w:rPr><w:rFonts w:ascii="Consolas" w:cs="Consolas" w:eastAsia="Consolas" w:hAnsi="Consolas"/><w:b/><w:bCs/><w:i w:val="false"/><w:iCs w:val="false"/><w:color w:val="ffffff"/><w:sz w:val="22"/><w:szCs w:val="22"/></w:rPr><w:t xml:space="preserve">SECTION 2 — SCOPE OF WORK</w:t></w:r></w:p></w:tc></w:tr></w:tbl><w:p><w:pPr><w:keepNext w:val="false"/><w:keepLines/><w:spacing w:after="8" w:before="0" w:line="80"/><w:jc w:val="left"/></w:pPr><w:r><w:rPr><w:rFonts w:ascii="Calibri" w:cs="Calibri" w:eastAsia="Calibri" w:hAnsi="Calibri"/><w:b w:val="false"/><w:bCs w:val="false"/><w:i w:val="false"/><w:iCs w:val="false"/><w:color w:val="0f172a"/><w:sz w:val="8"/><w:szCs w:val="8"/></w:rPr><w:t xml:space="preserve"></w:t></w:r></w:p><w:tbl><w:tblPr><w:tblW w:type="dxa" w:w="9360"/><w:tblBorders><w:top w:val="single" w:color="a7f3d0" w:sz="4"/><w:left w:val="single" w:color="a7f3d0" w:sz="4"/><w:bottom w:val="single" w:color="a7f3d0" w:sz="4"/><w:right w:val="single" w:color="a7f3d0" w:sz="4"/><w:insideH w:val="single" w:color="a7f3d0" w:sz="4"/><w:insideV w:val="single" w:color="a7f3d0" w:sz="4"/></w:tblBorders></w:tblPr><w:tblGrid><w:gridCol w:w="9360"/></w:tblGrid><w:tr><w:trPr><w:cantSplit/></w:trPr><w:tc><w:tcPr><w:tcW w:type="dxa" w:w="9360"/><w:tcBorders><w:top w:val="single" w:color="a7f3d0" w:sz="4"/><w:left w:val="single" w:color="a7f3d0" w:sz="4"/><w:bottom w:val="single" w:color="a7f3d0" w:sz="4"/><w:right w:val="single" w:color="a7f3d0" w:sz="4"/></w:tcBorders><w:shd w:fill="ecfdf5" w:color="auto" w:val="clear"/><w:tcMar><w:top w:type="dxa" w:w="80"/><w:left w:type="dxa" w:w="140"/><w:bottom w:type="dxa" w:w="80"/><w:right w:type="dxa" w:w="140"/></w:tcMar><w:vAlign w:val="top"/></w:tcPr><w:p><w:pPr><w:keepNext w:val="false"/><w:keepLines/><w:spacing w:after="0" w:before="0" w:line="24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Apex Custodial Solutions provided comprehensive custodial and infection-control services across 420,000 sq ft of clinical, administrative, and patient-care space at the VA Phoenix HCS main campus and four Community-Based Outpatient Clinics (CBOCs) in Mesa, Peoria, Sun City, and Surprise, AZ. Work was performed 365 days/year under a Performance Work Statement (PWS) aligned with VA Handbook 7610 (Housekeeping) and CDC environmental infection-control guidelines.</w:t></w:r></w:p></w:tc></w:tr></w:tbl><w:p><w:pPr><w:keepNext w:val="false"/><w:keepLines/><w:spacing w:after="12" w:before="0" w:line="80"/><w:jc w:val="left"/></w:pPr><w:r><w:rPr><w:rFonts w:ascii="Calibri" w:cs="Calibri" w:eastAsia="Calibri" w:hAnsi="Calibri"/><w:b w:val="false"/><w:bCs w:val="false"/><w:i w:val="false"/><w:iCs w:val="false"/><w:color w:val="0f172a"/><w:sz w:val="12"/><w:szCs w:val="12"/></w:rPr><w:t xml:space="preserve"></w:t></w:r></w:p><w:tbl><w:tblPr><w:tblW w:type="dxa" w:w="9360"/><w:tblBorders><w:top w:val="single" w:color="cbd5e1" w:sz="4"/><w:left w:val="single" w:color="cbd5e1" w:sz="4"/><w:bottom w:val="single" w:color="cbd5e1" w:sz="4"/><w:right w:val="single" w:color="cbd5e1" w:sz="4"/><w:insideH w:val="single" w:color="cbd5e1" w:sz="4"/><w:insideV w:val="single" w:color="cbd5e1" w:sz="4"/></w:tblBorders></w:tblPr><w:tblGrid><w:gridCol w:w="1600"/><w:gridCol w:w="2500"/><w:gridCol w:w="2600"/><w:gridCol w:w="2660"/></w:tblGrid><w:tr><w:trPr><w:cantSplit/><w:tblHeader/></w:trPr><0/></w:tr><w:tr><w:trPr><w:cantSplit/></w:trPr><w:tc><w:tcPr><w:tcW w:type="dxa" w:w="1600"/><w:shd w:fill="ecfdf5" w:color="auto" w:val="clear"/><w:tcMar><w:top w:type="dxa" w:w="60"/><w:left w:type="dxa" w:w="10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6"/><w:szCs w:val="16"/></w:rPr><w:t xml:space="preserve">Daily</w:t></w:r></w:p></w:tc><w:tc><w:tcPr><w:tcW w:type="dxa" w:w="2500"/><w:shd w:fill="ffffff" w:color="auto" w:val="clear"/><w:tcMar><w:top w:type="dxa" w:w="60"/><w:left w:type="dxa" w:w="10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6"/><w:szCs w:val="16"/></w:rPr><w:t xml:space="preserve">High-touch surface disinfection (doorknobs, light switches, handrails, elevator buttons); restroom sanitation; trash removal; mopping all patient-care corridors</w:t></w:r></w:p></w:tc><w:tc><w:tcPr><w:tcW w:type="dxa" w:w="2600"/><w:shd w:fill="ffffff" w:color="auto" w:val="clear"/><w:tcMar><w:top w:type="dxa" w:w="60"/><w:left w:type="dxa" w:w="10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6"/><w:szCs w:val="16"/></w:rPr><w:t xml:space="preserve">Zero Critical (Class C) findings per monthly QAE inspection; AQL 95%</w:t></w:r></w:p></w:tc><w:tc><w:tcPr><w:tcW w:type="dxa" w:w="2660"/><w:shd w:fill="ffffff" w:color="auto" w:val="clear"/><w:tcMar><w:top w:type="dxa" w:w="60"/><w:left w:type="dxa" w:w="10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475569"/><w:sz w:val="16"/><w:szCs w:val="16"/></w:rPr><w:t xml:space="preserve">VA PWS §3.2.1 / CDC 2019 Environmental Guidelines</w:t></w:r></w:p></w:tc></w:tr><w:tr><w:trPr><w:cantSplit/></w:trPr><w:tc><w:tcPr><w:tcW w:type="dxa" w:w="1600"/><w:shd w:fill="f0fdf4" w:color="auto" w:val="clear"/><w:tcMar><w:top w:type="dxa" w:w="60"/><w:left w:type="dxa" w:w="10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6"/><w:szCs w:val="16"/></w:rPr><w:t xml:space="preserve">Weekly</w:t></w:r></w:p></w:tc><w:tc><w:tcPr><w:tcW w:type="dxa" w:w="2500"/><w:shd w:fill="ffffff" w:color="auto" w:val="clear"/><w:tcMar><w:top w:type="dxa" w:w="60"/><w:left w:type="dxa" w:w="10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6"/><w:szCs w:val="16"/></w:rPr><w:t xml:space="preserve">Deep-scrub of all hard-floor surfaces (surgical corridors + waiting areas); burnishing; restroom grout treatment; HEPA-vacuum all soft furnishings</w:t></w:r></w:p></w:tc><w:tc><w:tcPr><w:tcW w:type="dxa" w:w="2600"/><w:shd w:fill="ffffff" w:color="auto" w:val="clear"/><w:tcMar><w:top w:type="dxa" w:w="60"/><w:left w:type="dxa" w:w="10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6"/><w:szCs w:val="16"/></w:rPr><w:t xml:space="preserve">No repeat findings across 2 consecutive monthly inspections; AQL 90%</w:t></w:r></w:p></w:tc><w:tc><w:tcPr><w:tcW w:type="dxa" w:w="2660"/><w:shd w:fill="ffffff" w:color="auto" w:val="clear"/><w:tcMar><w:top w:type="dxa" w:w="60"/><w:left w:type="dxa" w:w="10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475569"/><w:sz w:val="16"/><w:szCs w:val="16"/></w:rPr><w:t xml:space="preserve">VA PWS §3.2.2 / APPA Level 2 standard</w:t></w:r></w:p></w:tc></w:tr><w:tr><w:trPr><w:cantSplit/></w:trPr><w:tc><w:tcPr><w:tcW w:type="dxa" w:w="1600"/><w:shd w:fill="ecfdf5" w:color="auto" w:val="clear"/><w:tcMar><w:top w:type="dxa" w:w="60"/><w:left w:type="dxa" w:w="10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6"/><w:szCs w:val="16"/></w:rPr><w:t xml:space="preserve">Monthly</w:t></w:r></w:p></w:tc><w:tc><w:tcPr><w:tcW w:type="dxa" w:w="2500"/><w:shd w:fill="ffffff" w:color="auto" w:val="clear"/><w:tcMar><w:top w:type="dxa" w:w="60"/><w:left w:type="dxa" w:w="10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6"/><w:szCs w:val="16"/></w:rPr><w:t xml:space="preserve">Carpet extraction (all CBOC waiting areas); high-dusting above 7 ft (lights, vents, ledges); log submission to COR via VetsPro CMMS within 3 business days</w:t></w:r></w:p></w:tc><w:tc><w:tcPr><w:tcW w:type="dxa" w:w="2600"/><w:shd w:fill="ffffff" w:color="auto" w:val="clear"/><w:tcMar><w:top w:type="dxa" w:w="60"/><w:left w:type="dxa" w:w="10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6"/><w:szCs w:val="16"/></w:rPr><w:t xml:space="preserve">Written completion log delivered NLT 3 business days after last workday of month</w:t></w:r></w:p></w:tc><w:tc><w:tcPr><w:tcW w:type="dxa" w:w="2660"/><w:shd w:fill="ffffff" w:color="auto" w:val="clear"/><w:tcMar><w:top w:type="dxa" w:w="60"/><w:left w:type="dxa" w:w="10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475569"/><w:sz w:val="16"/><w:szCs w:val="16"/></w:rPr><w:t xml:space="preserve">VA PWS §3.2.3 / FAR 52.246-4 (Inspection of Services)</w:t></w:r></w:p></w:tc></w:tr><w:tr><w:trPr><w:cantSplit/></w:trPr><w:tc><w:tcPr><w:tcW w:type="dxa" w:w="1600"/><w:shd w:fill="f0fdf4" w:color="auto" w:val="clear"/><w:tcMar><w:top w:type="dxa" w:w="60"/><w:left w:type="dxa" w:w="10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6"/><w:szCs w:val="16"/></w:rPr><w:t xml:space="preserve">Annual</w:t></w:r></w:p></w:tc><w:tc><w:tcPr><w:tcW w:type="dxa" w:w="2500"/><w:shd w:fill="ffffff" w:color="auto" w:val="clear"/><w:tcMar><w:top w:type="dxa" w:w="60"/><w:left w:type="dxa" w:w="10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6"/><w:szCs w:val="16"/></w:rPr><w:t xml:space="preserve">Strip-and-wax of all VCT floors; window cleaning (exterior + interior) including ladder-access zones; annual deep-clean report submitted to Facility Manager</w:t></w:r></w:p></w:tc><w:tc><w:tcPr><w:tcW w:type="dxa" w:w="2600"/><w:shd w:fill="ffffff" w:color="auto" w:val="clear"/><w:tcMar><w:top w:type="dxa" w:w="60"/><w:left w:type="dxa" w:w="10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6"/><w:szCs w:val="16"/></w:rPr><w:t xml:space="preserve">Written report with pre/post photos delivered NLT Oct 15 each contract year</w:t></w:r></w:p></w:tc><w:tc><w:tcPr><w:tcW w:type="dxa" w:w="2660"/><w:shd w:fill="ffffff" w:color="auto" w:val="clear"/><w:tcMar><w:top w:type="dxa" w:w="60"/><w:left w:type="dxa" w:w="10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475569"/><w:sz w:val="16"/><w:szCs w:val="16"/></w:rPr><w:t xml:space="preserve">VA PWS §3.2.4 / VA Handbook 7610 §8.3</w:t></w:r></w:p></w:tc></w:tr></w:tbl><w:p><w:pPr><w:keepNext w:val="false"/><w:keepLines/><w:spacing w:after="20" w:before="0" w:line="80"/><w:jc w:val="left"/></w:pPr><w:r><w:rPr><w:rFonts w:ascii="Calibri" w:cs="Calibri" w:eastAsia="Calibri" w:hAnsi="Calibri"/><w:b w:val="false"/><w:bCs w:val="false"/><w:i w:val="false"/><w:iCs w:val="false"/><w:color w:val="0f172a"/><w:sz w:val="20"/><w:szCs w:val="20"/></w:rPr><w:t xml:space="preserve"></w:t></w:r></w:p><w:tbl><w:tblPr><w:tblW w:type="dxa" w:w="9360"/><w:tblBorders><w:top w:val="none" w:color="FFFFFF" w:sz="0"/><w:left w:val="none" w:color="FFFFFF" w:sz="0"/><w:bottom w:val="none" w:color="FFFFFF" w:sz="0"/><w:right w:val="none" w:color="FFFFFF" w:sz="0"/><w:insideH w:val="none" w:color="FFFFFF" w:sz="0"/><w:insideV w:val="none" w:color="FFFFFF" w:sz="0"/></w:tblBorders></w:tblPr><w:tblGrid><w:gridCol w:w="9360"/></w:tblGrid><w:tr><w:trPr><w:cantSplit/></w:trP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064e3b" w:color="auto" w:val="clear"/><w:tcMar><w:top w:type="dxa" w:w="80"/><w:left w:type="dxa" w:w="160"/><w:bottom w:type="dxa" w:w="80"/><w:right w:type="dxa" w:w="160"/></w:tcMar><w:vAlign w:val="center"/></w:tcPr><w:p><w:pPr><w:keepNext w:val="false"/><w:keepLines/><w:spacing w:after="0" w:before="0" w:line="220"/><w:jc w:val="left"/></w:pPr><w:r><w:rPr><w:rFonts w:ascii="Consolas" w:cs="Consolas" w:eastAsia="Consolas" w:hAnsi="Consolas"/><w:b/><w:bCs/><w:i w:val="false"/><w:iCs w:val="false"/><w:color w:val="ffffff"/><w:sz w:val="22"/><w:szCs w:val="22"/></w:rPr><w:t xml:space="preserve">SECTION 3 — CERTIFICATIONS &amp; INFECTION-CONTROL PROTOCOLS</w:t></w:r></w:p></w:tc></w:tr></w:tbl><w:p><w:pPr><w:keepNext w:val="false"/><w:keepLines/><w:spacing w:after="8" w:before="0" w:line="80"/><w:jc w:val="left"/></w:pPr><w:r><w:rPr><w:rFonts w:ascii="Calibri" w:cs="Calibri" w:eastAsia="Calibri" w:hAnsi="Calibri"/><w:b w:val="false"/><w:bCs w:val="false"/><w:i w:val="false"/><w:iCs w:val="false"/><w:color w:val="0f172a"/><w:sz w:val="8"/><w:szCs w:val="8"/></w:rPr><w:t xml:space="preserve"></w:t></w:r></w:p><w:tbl><w:tblPr><w:tblW w:type="dxa" w:w="9360"/><w:tblBorders><w:top w:val="single" w:color="cbd5e1" w:sz="4"/><w:left w:val="single" w:color="cbd5e1" w:sz="4"/><w:bottom w:val="single" w:color="cbd5e1" w:sz="4"/><w:right w:val="single" w:color="cbd5e1" w:sz="4"/><w:insideH w:val="single" w:color="cbd5e1" w:sz="4"/><w:insideV w:val="single" w:color="cbd5e1" w:sz="4"/></w:tblBorders></w:tblPr><w:tblGrid><w:gridCol w:w="4680"/><w:gridCol w:w="4680"/></w:tblGrid><w:tr><w:trPr><w:cantSplit/></w:trPr><w:tc><w:tcPr><w:tcW w:type="dxa" w:w="4680"/><w:shd w:fill="ecfdf5" w:color="auto" w:val="clear"/><w:tcMar><w:top w:type="dxa" w:w="100"/><w:left w:type="dxa" w:w="140"/><w:bottom w:type="dxa" w:w="100"/><w:right w:type="dxa" w:w="80"/></w:tcMar><w:vAlign w:val="top"/></w:tcPr><w:p><w:pPr><w:keepNext/><w:keepLines/><w:spacing w:after="60" w:before="0" w:line="240"/><w:jc w:val="left"/></w:pPr><w:r><w:rPr><w:rFonts w:ascii="Calibri" w:cs="Calibri" w:eastAsia="Calibri" w:hAnsi="Calibri"/><w:b/><w:bCs/><w:i w:val="false"/><w:iCs w:val="false"/><w:color w:val="064e3b"/><w:sz w:val="22"/><w:szCs w:val="22"/></w:rPr><w:t xml:space="preserve">Green-Cleaning Certifications</w:t></w:r></w:p><w:p><w:pPr><w:keepNext w:val="false"/><w:keepLines/><w:spacing w:after="40" w:before="0" w:line="240"/><w:ind w:left="200" w:hanging="200"/><w:jc w:val="left"/></w:pPr><w:r><w:rPr><w:rFonts w:ascii="Calibri" w:cs="Calibri" w:eastAsia="Calibri" w:hAnsi="Calibri"/><w:b/><w:bCs/><w:i w:val="false"/><w:iCs w:val="false"/><w:color w:val="047857"/><w:sz w:val="18"/><w:szCs w:val="18"/></w:rPr><w:t xml:space="preserve">•  </w:t></w:r><w:r><w:rPr><w:rFonts w:ascii="Calibri" w:cs="Calibri" w:eastAsia="Calibri" w:hAnsi="Calibri"/><w:b w:val="false"/><w:bCs w:val="false"/><w:i w:val="false"/><w:iCs w:val="false"/><w:color w:val="0f172a"/><w:sz w:val="18"/><w:szCs w:val="18"/></w:rPr><w:t xml:space="preserve">ISSA CIMS-GB Certification (Cleaning Industry Management Standard – Green Building), cert no. CIMS-23-0088, valid through Dec 2025</w:t></w:r></w:p><w:p><w:pPr><w:keepNext w:val="false"/><w:keepLines/><w:spacing w:after="40" w:before="0" w:line="240"/><w:ind w:left="200" w:hanging="200"/><w:jc w:val="left"/></w:pPr><w:r><w:rPr><w:rFonts w:ascii="Calibri" w:cs="Calibri" w:eastAsia="Calibri" w:hAnsi="Calibri"/><w:b/><w:bCs/><w:i w:val="false"/><w:iCs w:val="false"/><w:color w:val="047857"/><w:sz w:val="18"/><w:szCs w:val="18"/></w:rPr><w:t xml:space="preserve">•  </w:t></w:r><w:r><w:rPr><w:rFonts w:ascii="Calibri" w:cs="Calibri" w:eastAsia="Calibri" w:hAnsi="Calibri"/><w:b w:val="false"/><w:bCs w:val="false"/><w:i w:val="false"/><w:iCs w:val="false"/><w:color w:val="0f172a"/><w:sz w:val="18"/><w:szCs w:val="18"/></w:rPr><w:t xml:space="preserve">EPA Safer Choice compliant products — full product list on file with VA COR (no quat-ammonium compounds in patient-care areas)</w:t></w:r></w:p><w:p><w:pPr><w:keepNext w:val="false"/><w:keepLines/><w:spacing w:after="40" w:before="0" w:line="240"/><w:ind w:left="200" w:hanging="200"/><w:jc w:val="left"/></w:pPr><w:r><w:rPr><w:rFonts w:ascii="Calibri" w:cs="Calibri" w:eastAsia="Calibri" w:hAnsi="Calibri"/><w:b/><w:bCs/><w:i w:val="false"/><w:iCs w:val="false"/><w:color w:val="047857"/><w:sz w:val="18"/><w:szCs w:val="18"/></w:rPr><w:t xml:space="preserve">•  </w:t></w:r><w:r><w:rPr><w:rFonts w:ascii="Calibri" w:cs="Calibri" w:eastAsia="Calibri" w:hAnsi="Calibri"/><w:b w:val="false"/><w:bCs w:val="false"/><w:i w:val="false"/><w:iCs w:val="false"/><w:color w:val="0f172a"/><w:sz w:val="18"/><w:szCs w:val="18"/></w:rPr><w:t xml:space="preserve">GS-42-certified floor care products; GS-37-certified bathroom cleaners throughout all patient-care zones</w:t></w:r></w:p><w:p><w:pPr><w:keepNext w:val="false"/><w:keepLines/><w:spacing w:after="40" w:before="0" w:line="240"/><w:ind w:left="200" w:hanging="200"/><w:jc w:val="left"/></w:pPr><w:r><w:rPr><w:rFonts w:ascii="Calibri" w:cs="Calibri" w:eastAsia="Calibri" w:hAnsi="Calibri"/><w:b/><w:bCs/><w:i w:val="false"/><w:iCs w:val="false"/><w:color w:val="047857"/><w:sz w:val="18"/><w:szCs w:val="18"/></w:rPr><w:t xml:space="preserve">•  </w:t></w:r><w:r><w:rPr><w:rFonts w:ascii="Calibri" w:cs="Calibri" w:eastAsia="Calibri" w:hAnsi="Calibri"/><w:b w:val="false"/><w:bCs w:val="false"/><w:i w:val="false"/><w:iCs w:val="false"/><w:color w:val="0f172a"/><w:sz w:val="18"/><w:szCs w:val="18"/></w:rPr><w:t xml:space="preserve">Green Seal–registered disinfectants meeting CDC kill-time thresholds for C. diff, MRSA, and VRE</w:t></w:r></w:p></w:tc><w:tc><w:tcPr><w:tcW w:type="dxa" w:w="4680"/><w:shd w:fill="f0fdf4" w:color="auto" w:val="clear"/><w:tcMar><w:top w:type="dxa" w:w="100"/><w:left w:type="dxa" w:w="80"/><w:bottom w:type="dxa" w:w="100"/><w:right w:type="dxa" w:w="140"/></w:tcMar><w:vAlign w:val="top"/></w:tcPr><w:p><w:pPr><w:keepNext/><w:keepLines/><w:spacing w:after="60" w:before="0" w:line="240"/><w:jc w:val="left"/></w:pPr><w:r><w:rPr><w:rFonts w:ascii="Calibri" w:cs="Calibri" w:eastAsia="Calibri" w:hAnsi="Calibri"/><w:b/><w:bCs/><w:i w:val="false"/><w:iCs w:val="false"/><w:color w:val="064e3b"/><w:sz w:val="22"/><w:szCs w:val="22"/></w:rPr><w:t xml:space="preserve">Infection-Control Protocols</w:t></w:r></w:p><w:p><w:pPr><w:keepNext w:val="false"/><w:keepLines/><w:spacing w:after="40" w:before="0" w:line="240"/><w:ind w:left="200" w:hanging="200"/><w:jc w:val="left"/></w:pPr><w:r><w:rPr><w:rFonts w:ascii="Calibri" w:cs="Calibri" w:eastAsia="Calibri" w:hAnsi="Calibri"/><w:b/><w:bCs/><w:i w:val="false"/><w:iCs w:val="false"/><w:color w:val="047857"/><w:sz w:val="18"/><w:szCs w:val="18"/></w:rPr><w:t xml:space="preserve">•  </w:t></w:r><w:r><w:rPr><w:rFonts w:ascii="Calibri" w:cs="Calibri" w:eastAsia="Calibri" w:hAnsi="Calibri"/><w:b w:val="false"/><w:bCs w:val="false"/><w:i w:val="false"/><w:iCs w:val="false"/><w:color w:val="0f172a"/><w:sz w:val="18"/><w:szCs w:val="18"/></w:rPr><w:t xml:space="preserve">ICRA (Infection Control Risk Assessment) training completed by all staff before initial period of performance; refresher annually</w:t></w:r></w:p><w:p><w:pPr><w:keepNext w:val="false"/><w:keepLines/><w:spacing w:after="40" w:before="0" w:line="240"/><w:ind w:left="200" w:hanging="200"/><w:jc w:val="left"/></w:pPr><w:r><w:rPr><w:rFonts w:ascii="Calibri" w:cs="Calibri" w:eastAsia="Calibri" w:hAnsi="Calibri"/><w:b/><w:bCs/><w:i w:val="false"/><w:iCs w:val="false"/><w:color w:val="047857"/><w:sz w:val="18"/><w:szCs w:val="18"/></w:rPr><w:t xml:space="preserve">•  </w:t></w:r><w:r><w:rPr><w:rFonts w:ascii="Calibri" w:cs="Calibri" w:eastAsia="Calibri" w:hAnsi="Calibri"/><w:b w:val="false"/><w:bCs w:val="false"/><w:i w:val="false"/><w:iCs w:val="false"/><w:color w:val="0f172a"/><w:sz w:val="18"/><w:szCs w:val="18"/></w:rPr><w:t xml:space="preserve">CDC 2019 Environmental Infection Control Guidelines followed for terminal cleans of isolation rooms; two-person team with observer</w:t></w:r></w:p><w:p><w:pPr><w:keepNext w:val="false"/><w:keepLines/><w:spacing w:after="40" w:before="0" w:line="240"/><w:ind w:left="200" w:hanging="200"/><w:jc w:val="left"/></w:pPr><w:r><w:rPr><w:rFonts w:ascii="Calibri" w:cs="Calibri" w:eastAsia="Calibri" w:hAnsi="Calibri"/><w:b/><w:bCs/><w:i w:val="false"/><w:iCs w:val="false"/><w:color w:val="047857"/><w:sz w:val="18"/><w:szCs w:val="18"/></w:rPr><w:t xml:space="preserve">•  </w:t></w:r><w:r><w:rPr><w:rFonts w:ascii="Calibri" w:cs="Calibri" w:eastAsia="Calibri" w:hAnsi="Calibri"/><w:b w:val="false"/><w:bCs w:val="false"/><w:i w:val="false"/><w:iCs w:val="false"/><w:color w:val="0f172a"/><w:sz w:val="18"/><w:szCs w:val="18"/></w:rPr><w:t xml:space="preserve">Fluorescent marker and ATP bioluminescence audits conducted quarterly by PM; results shared with COR within 48 hours</w:t></w:r></w:p><w:p><w:pPr><w:keepNext w:val="false"/><w:keepLines/><w:spacing w:after="40" w:before="0" w:line="240"/><w:ind w:left="200" w:hanging="200"/><w:jc w:val="left"/></w:pPr><w:r><w:rPr><w:rFonts w:ascii="Calibri" w:cs="Calibri" w:eastAsia="Calibri" w:hAnsi="Calibri"/><w:b/><w:bCs/><w:i w:val="false"/><w:iCs w:val="false"/><w:color w:val="047857"/><w:sz w:val="18"/><w:szCs w:val="18"/></w:rPr><w:t xml:space="preserve">•  </w:t></w:r><w:r><w:rPr><w:rFonts w:ascii="Calibri" w:cs="Calibri" w:eastAsia="Calibri" w:hAnsi="Calibri"/><w:b w:val="false"/><w:bCs w:val="false"/><w:i w:val="false"/><w:iCs w:val="false"/><w:color w:val="0f172a"/><w:sz w:val="18"/><w:szCs w:val="18"/></w:rPr><w:t xml:space="preserve">Color-coded microfiber system (red=restroom, yellow=patient care, blue=admin, green=food) enforced 100% of operating shifts</w:t></w:r></w:p></w:tc></w:tr></w:tbl><w:p><w:pPr><w:keepNext w:val="false"/><w:keepLines/><w:spacing w:after="20" w:before="0" w:line="80"/><w:jc w:val="left"/></w:pPr><w:r><w:rPr><w:rFonts w:ascii="Calibri" w:cs="Calibri" w:eastAsia="Calibri" w:hAnsi="Calibri"/><w:b w:val="false"/><w:bCs w:val="false"/><w:i w:val="false"/><w:iCs w:val="false"/><w:color w:val="0f172a"/><w:sz w:val="20"/><w:szCs w:val="20"/></w:rPr><w:t xml:space="preserve"></w:t></w:r></w:p><w:tbl><w:tblPr><w:tblW w:type="dxa" w:w="9360"/><w:tblBorders><w:top w:val="none" w:color="FFFFFF" w:sz="0"/><w:left w:val="none" w:color="FFFFFF" w:sz="0"/><w:bottom w:val="none" w:color="FFFFFF" w:sz="0"/><w:right w:val="none" w:color="FFFFFF" w:sz="0"/><w:insideH w:val="none" w:color="FFFFFF" w:sz="0"/><w:insideV w:val="none" w:color="FFFFFF" w:sz="0"/></w:tblBorders></w:tblPr><w:tblGrid><w:gridCol w:w="9360"/></w:tblGrid><w:tr><w:trPr><w:cantSplit/></w:trP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064e3b" w:color="auto" w:val="clear"/><w:tcMar><w:top w:type="dxa" w:w="80"/><w:left w:type="dxa" w:w="160"/><w:bottom w:type="dxa" w:w="80"/><w:right w:type="dxa" w:w="160"/></w:tcMar><w:vAlign w:val="center"/></w:tcPr><w:p><w:pPr><w:keepNext w:val="false"/><w:keepLines/><w:spacing w:after="0" w:before="0" w:line="220"/><w:jc w:val="left"/></w:pPr><w:r><w:rPr><w:rFonts w:ascii="Consolas" w:cs="Consolas" w:eastAsia="Consolas" w:hAnsi="Consolas"/><w:b/><w:bCs/><w:i w:val="false"/><w:iCs w:val="false"/><w:color w:val="ffffff"/><w:sz w:val="22"/><w:szCs w:val="22"/></w:rPr><w:t xml:space="preserve">SECTION 4 — KEY PERSONNEL</w:t></w:r></w:p></w:tc></w:tr></w:tbl><w:p><w:pPr><w:keepNext w:val="false"/><w:keepLines/><w:spacing w:after="8" w:before="0" w:line="80"/><w:jc w:val="left"/></w:pPr><w:r><w:rPr><w:rFonts w:ascii="Calibri" w:cs="Calibri" w:eastAsia="Calibri" w:hAnsi="Calibri"/><w:b w:val="false"/><w:bCs w:val="false"/><w:i w:val="false"/><w:iCs w:val="false"/><w:color w:val="0f172a"/><w:sz w:val="8"/><w:szCs w:val="8"/></w:rPr><w:t xml:space="preserve"></w:t></w:r></w:p><w:tbl><w:tblPr><w:tblW w:type="dxa" w:w="9360"/><w:tblBorders><w:top w:val="single" w:color="cbd5e1" w:sz="4"/><w:left w:val="single" w:color="cbd5e1" w:sz="4"/><w:bottom w:val="single" w:color="cbd5e1" w:sz="4"/><w:right w:val="single" w:color="cbd5e1" w:sz="4"/><w:insideH w:val="single" w:color="cbd5e1" w:sz="4"/><w:insideV w:val="single" w:color="cbd5e1" w:sz="4"/></w:tblBorders></w:tblPr><w:tblGrid><w:gridCol w:w="2500"/><w:gridCol w:w="6860"/></w:tblGrid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Contract Manager (PM)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Maria T. Sandoval — RBSM, CIMS; 15+ years federal custodial management; held PIV card entire PoP</w:t></w:r></w:p></w:tc></w:tr><w:tr><w:trPr><w:cantSplit/></w:trPr><w:tc><w:tcPr><w:tcW w:type="dxa" w:w="2500"/><w:shd w:fill="f0fdf4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Site Supervisor (Phoenix)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José A. Hernandez — ISSA Cleaning Management Institute Level II; on-site daily</w:t></w:r></w:p></w:tc></w:tr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FTE at Peak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22 direct FTE (14 day-shift, 8 evening-shift) + 3 part-time CBOC leads</w:t></w:r></w:p></w:tc></w:tr><w:tr><w:trPr><w:cantSplit/></w:trPr><w:tc><w:tcPr><w:tcW w:type="dxa" w:w="2500"/><w:shd w:fill="f0fdf4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Turnover Rate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11% annually (below VA-tracked industry median of 38% for services contracts in VISN 18)</w:t></w:r></w:p></w:tc></w:tr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Security Clearances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All 22 FTE completed Tier 1 BI prior to site access; zero access revocations during PoP</w:t></w:r></w:p></w:tc></w:tr><w:tr><w:trPr><w:cantSplit/></w:trPr><w:tc><w:tcPr><w:tcW w:type="dxa" w:w="2500"/><w:shd w:fill="f0fdf4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Subcontractors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None — 100% self-performed (Prime, sole-source SDVOSB)</w:t></w:r></w:p></w:tc></w:tr></w:tbl><w:p><w:pPr><w:keepNext w:val="false"/><w:keepLines/><w:spacing w:after="20" w:before="0" w:line="80"/><w:jc w:val="left"/></w:pPr><w:r><w:rPr><w:rFonts w:ascii="Calibri" w:cs="Calibri" w:eastAsia="Calibri" w:hAnsi="Calibri"/><w:b w:val="false"/><w:bCs w:val="false"/><w:i w:val="false"/><w:iCs w:val="false"/><w:color w:val="0f172a"/><w:sz w:val="20"/><w:szCs w:val="20"/></w:rPr><w:t xml:space="preserve"></w:t></w:r></w:p><w:tbl><w:tblPr><w:tblW w:type="dxa" w:w="9360"/><w:tblBorders><w:top w:val="none" w:color="FFFFFF" w:sz="0"/><w:left w:val="none" w:color="FFFFFF" w:sz="0"/><w:bottom w:val="none" w:color="FFFFFF" w:sz="0"/><w:right w:val="none" w:color="FFFFFF" w:sz="0"/><w:insideH w:val="none" w:color="FFFFFF" w:sz="0"/><w:insideV w:val="none" w:color="FFFFFF" w:sz="0"/></w:tblBorders></w:tblPr><w:tblGrid><w:gridCol w:w="9360"/></w:tblGrid><w:tr><w:trPr><w:cantSplit/></w:trP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064e3b" w:color="auto" w:val="clear"/><w:tcMar><w:top w:type="dxa" w:w="80"/><w:left w:type="dxa" w:w="160"/><w:bottom w:type="dxa" w:w="80"/><w:right w:type="dxa" w:w="160"/></w:tcMar><w:vAlign w:val="center"/></w:tcPr><w:p><w:pPr><w:keepNext w:val="false"/><w:keepLines/><w:spacing w:after="0" w:before="0" w:line="220"/><w:jc w:val="left"/></w:pPr><w:r><w:rPr><w:rFonts w:ascii="Consolas" w:cs="Consolas" w:eastAsia="Consolas" w:hAnsi="Consolas"/><w:b/><w:bCs/><w:i w:val="false"/><w:iCs w:val="false"/><w:color w:val="ffffff"/><w:sz w:val="22"/><w:szCs w:val="22"/></w:rPr><w:t xml:space="preserve">SECTION 5 — PERFORMANCE RECORD</w:t></w:r></w:p></w:tc></w:tr></w:tbl><w:p><w:pPr><w:keepNext w:val="false"/><w:keepLines/><w:spacing w:after="8" w:before="0" w:line="80"/><w:jc w:val="left"/></w:pPr><w:r><w:rPr><w:rFonts w:ascii="Calibri" w:cs="Calibri" w:eastAsia="Calibri" w:hAnsi="Calibri"/><w:b w:val="false"/><w:bCs w:val="false"/><w:i w:val="false"/><w:iCs w:val="false"/><w:color w:val="0f172a"/><w:sz w:val="8"/><w:szCs w:val="8"/></w:rPr><w:t xml:space="preserve"></w:t></w:r></w:p><w:tbl><w:tblPr><w:tblW w:type="dxa" w:w="9360"/><w:tblBorders><w:top w:val="single" w:color="cbd5e1" w:sz="4"/><w:left w:val="single" w:color="cbd5e1" w:sz="4"/><w:bottom w:val="single" w:color="cbd5e1" w:sz="4"/><w:right w:val="single" w:color="cbd5e1" w:sz="4"/><w:insideH w:val="single" w:color="cbd5e1" w:sz="4"/><w:insideV w:val="single" w:color="cbd5e1" w:sz="4"/></w:tblBorders></w:tblPr><w:tblGrid><w:gridCol w:w="2500"/><w:gridCol w:w="6860"/></w:tblGrid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CPARS Rating (FY2020)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Exceptional — &quot;Contractor consistently exceeded all PWS requirements; zero critical deficiencies recorded&quot; — CO Kim Wheeler</w:t></w:r></w:p></w:tc></w:tr><w:tr><w:trPr><w:cantSplit/></w:trPr><w:tc><w:tcPr><w:tcW w:type="dxa" w:w="2500"/><w:shd w:fill="f0fdf4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CPARS Rating (FY2021)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Exceptional — &quot;Rapid response to COVID-19 terminal clean protocol changes; no healthcare-associated event linked to custodial areas&quot;</w:t></w:r></w:p></w:tc></w:tr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CPARS Rating (FY2022)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Very Good — Site supervisor turnover in Q2 caused 2 minor findings; corrective action closed within 5 business days</w:t></w:r></w:p></w:tc></w:tr><w:tr><w:trPr><w:cantSplit/></w:trPr><w:tc><w:tcPr><w:tcW w:type="dxa" w:w="2500"/><w:shd w:fill="f0fdf4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CPARS Rating (FY2023)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Exceptional — All option-year metrics met or exceeded; facility satisfaction survey 4.7/5.0</w:t></w:r></w:p></w:tc></w:tr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Deductions / Penalties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None — no deductions or cure notices issued during the 5-year PoP</w:t></w:r></w:p></w:tc></w:tr><w:tr><w:trPr><w:cantSplit/></w:trPr><w:tc><w:tcPr><w:tcW w:type="dxa" w:w="2500"/><w:shd w:fill="f0fdf4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Complaints / Grievances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Zero formal grievances filed; one informal concern (odor in C-wing stairwell, Oct 2021) resolved same day</w:t></w:r></w:p></w:tc></w:tr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Option Years Exercised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2 of 2 — VA exercised both options without gap; sole-source justification renewed under FAR 6.302-5 each time</w:t></w:r></w:p></w:tc></w:tr></w:tbl><w:p><w:pPr><w:keepNext w:val="false"/><w:keepLines/><w:spacing w:after="20" w:before="0" w:line="80"/><w:jc w:val="left"/></w:pPr><w:r><w:rPr><w:rFonts w:ascii="Calibri" w:cs="Calibri" w:eastAsia="Calibri" w:hAnsi="Calibri"/><w:b w:val="false"/><w:bCs w:val="false"/><w:i w:val="false"/><w:iCs w:val="false"/><w:color w:val="0f172a"/><w:sz w:val="20"/><w:szCs w:val="20"/></w:rPr><w:t xml:space="preserve"></w:t></w:r></w:p><w:tbl><w:tblPr><w:tblW w:type="dxa" w:w="9360"/><w:tblBorders><w:top w:val="none" w:color="FFFFFF" w:sz="0"/><w:left w:val="none" w:color="FFFFFF" w:sz="0"/><w:bottom w:val="none" w:color="FFFFFF" w:sz="0"/><w:right w:val="none" w:color="FFFFFF" w:sz="0"/><w:insideH w:val="none" w:color="FFFFFF" w:sz="0"/><w:insideV w:val="none" w:color="FFFFFF" w:sz="0"/></w:tblBorders></w:tblPr><w:tblGrid><w:gridCol w:w="9360"/></w:tblGrid><w:tr><w:trPr><w:cantSplit/></w:trP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064e3b" w:color="auto" w:val="clear"/><w:tcMar><w:top w:type="dxa" w:w="80"/><w:left w:type="dxa" w:w="160"/><w:bottom w:type="dxa" w:w="80"/><w:right w:type="dxa" w:w="160"/></w:tcMar><w:vAlign w:val="center"/></w:tcPr><w:p><w:pPr><w:keepNext w:val="false"/><w:keepLines/><w:spacing w:after="0" w:before="0" w:line="220"/><w:jc w:val="left"/></w:pPr><w:r><w:rPr><w:rFonts w:ascii="Consolas" w:cs="Consolas" w:eastAsia="Consolas" w:hAnsi="Consolas"/><w:b/><w:bCs/><w:i w:val="false"/><w:iCs w:val="false"/><w:color w:val="ffffff"/><w:sz w:val="22"/><w:szCs w:val="22"/></w:rPr><w:t xml:space="preserve">SECTION 6 — AGENCY POINT OF CONTACT</w:t></w:r></w:p></w:tc></w:tr></w:tbl><w:p><w:pPr><w:keepNext w:val="false"/><w:keepLines/><w:spacing w:after="8" w:before="0" w:line="80"/><w:jc w:val="left"/></w:pPr><w:r><w:rPr><w:rFonts w:ascii="Calibri" w:cs="Calibri" w:eastAsia="Calibri" w:hAnsi="Calibri"/><w:b w:val="false"/><w:bCs w:val="false"/><w:i w:val="false"/><w:iCs w:val="false"/><w:color w:val="0f172a"/><w:sz w:val="8"/><w:szCs w:val="8"/></w:rPr><w:t xml:space="preserve"></w:t></w:r></w:p><w:tbl><w:tblPr><w:tblW w:type="dxa" w:w="9360"/><w:tblBorders><w:top w:val="single" w:color="cbd5e1" w:sz="4"/><w:left w:val="single" w:color="cbd5e1" w:sz="4"/><w:bottom w:val="single" w:color="cbd5e1" w:sz="4"/><w:right w:val="single" w:color="cbd5e1" w:sz="4"/><w:insideH w:val="single" w:color="cbd5e1" w:sz="4"/><w:insideV w:val="single" w:color="cbd5e1" w:sz="4"/></w:tblBorders></w:tblPr><w:tblGrid><w:gridCol w:w="2500"/><w:gridCol w:w="6860"/></w:tblGrid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Contracting Officer (CO)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Kim A. Wheeler, Contracting Officer, VA NCO 18</w:t></w:r></w:p></w:tc></w:tr><w:tr><w:trPr><w:cantSplit/></w:trPr><w:tc><w:tcPr><w:tcW w:type="dxa" w:w="2500"/><w:shd w:fill="f0fdf4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CO Phone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(602) 277-5551 ext. 7042</w:t></w:r></w:p></w:tc></w:tr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CO Email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kim.wheeler2@va.gov</w:t></w:r></w:p></w:tc></w:tr><w:tr><w:trPr><w:cantSplit/></w:trPr><w:tc><w:tcPr><w:tcW w:type="dxa" w:w="2500"/><w:shd w:fill="f0fdf4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Contracting Officer Rep (COR)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Lt. Col. (Ret.) David R. Okafor, COR, Facilities Management, VA Phoenix HCS</w:t></w:r></w:p></w:tc></w:tr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COR Phone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(602) 277-5551 ext. 4291</w:t></w:r></w:p></w:tc></w:tr><w:tr><w:trPr><w:cantSplit/></w:trPr><w:tc><w:tcPr><w:tcW w:type="dxa" w:w="2500"/><w:shd w:fill="f0fdf4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COR Email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david.okafor@va.gov</w:t></w:r></w:p></w:tc></w:tr><w:tr><w:trPr><w:cantSplit/></w:trPr><w:tc><w:tcPr><w:tcW w:type="dxa" w:w="2500"/><w:shd w:fill="ecfdf5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Facility Manager (secondary POC)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Sandra M. Tran, Chief, Facilities Operations, VA Phoenix HCS</w:t></w:r></w:p></w:tc></w:tr><w:tr><w:trPr><w:cantSplit/></w:trPr><w:tc><w:tcPr><w:tcW w:type="dxa" w:w="2500"/><w:shd w:fill="f0fdf4" w:color="auto" w:val="clear"/><w:tcMar><w:top w:type="dxa" w:w="60"/><w:left w:type="dxa" w:w="120"/><w:bottom w:type="dxa" w:w="60"/><w:right w:type="dxa" w:w="80"/></w:tcMar><w:vAlign w:val="top"/></w:tcPr><w:p><w:pPr><w:keepNext w:val="false"/><w:keepLines/><w:spacing w:after="0" w:before="0" w:line="220"/><w:jc w:val="left"/></w:pPr><w:r><w:rPr><w:rFonts w:ascii="Calibri" w:cs="Calibri" w:eastAsia="Calibri" w:hAnsi="Calibri"/><w:b/><w:bCs/><w:i w:val="false"/><w:iCs w:val="false"/><w:color w:val="064e3b"/><w:sz w:val="18"/><w:szCs w:val="18"/></w:rPr><w:t xml:space="preserve">Facility Manager Phone</w:t></w:r></w:p></w:tc><w:tc><w:tcPr><w:tcW w:type="dxa" w:w="6860"/><w:shd w:fill="ffffff" w:color="auto" w:val="clear"/><w:tcMar><w:top w:type="dxa" w:w="60"/><w:left w:type="dxa" w:w="120"/><w:bottom w:type="dxa" w:w="60"/><w:right w:type="dxa" w:w="120"/></w:tcMar><w:vAlign w:val="top"/></w:tcPr><w:p><w:pPr><w:keepNext w:val="false"/><w:keepLines/><w:spacing w:after="0" w:before="0" w:line="22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(602) 277-5551 ext. 3305</w:t></w:r></w:p></w:tc></w:tr></w:tbl><w:p><w:pPr><w:keepNext w:val="false"/><w:keepLines/><w:spacing w:after="20" w:before="0" w:line="80"/><w:jc w:val="left"/></w:pPr><w:r><w:rPr><w:rFonts w:ascii="Calibri" w:cs="Calibri" w:eastAsia="Calibri" w:hAnsi="Calibri"/><w:b w:val="false"/><w:bCs w:val="false"/><w:i w:val="false"/><w:iCs w:val="false"/><w:color w:val="0f172a"/><w:sz w:val="20"/><w:szCs w:val="20"/></w:rPr><w:t xml:space="preserve"></w:t></w:r></w:p><w:tbl><w:tblPr><w:tblW w:type="dxa" w:w="9360"/><w:tblBorders><w:top w:val="none" w:color="FFFFFF" w:sz="0"/><w:left w:val="none" w:color="FFFFFF" w:sz="0"/><w:bottom w:val="none" w:color="FFFFFF" w:sz="0"/><w:right w:val="none" w:color="FFFFFF" w:sz="0"/><w:insideH w:val="none" w:color="FFFFFF" w:sz="0"/><w:insideV w:val="none" w:color="FFFFFF" w:sz="0"/></w:tblBorders></w:tblPr><w:tblGrid><w:gridCol w:w="9360"/></w:tblGrid><w:tr><w:trPr><w:cantSplit/></w:trP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064e3b" w:color="auto" w:val="clear"/><w:tcMar><w:top w:type="dxa" w:w="80"/><w:left w:type="dxa" w:w="160"/><w:bottom w:type="dxa" w:w="80"/><w:right w:type="dxa" w:w="160"/></w:tcMar><w:vAlign w:val="center"/></w:tcPr><w:p><w:pPr><w:keepNext w:val="false"/><w:keepLines/><w:spacing w:after="0" w:before="0" w:line="220"/><w:jc w:val="left"/></w:pPr><w:r><w:rPr><w:rFonts w:ascii="Consolas" w:cs="Consolas" w:eastAsia="Consolas" w:hAnsi="Consolas"/><w:b/><w:bCs/><w:i w:val="false"/><w:iCs w:val="false"/><w:color w:val="ffffff"/><w:sz w:val="22"/><w:szCs w:val="22"/></w:rPr><w:t xml:space="preserve">SECTION 7 — DIFFERENTIATORS FOR SIMILAR PROCUREMENTS</w:t></w:r></w:p></w:tc></w:tr></w:tbl><w:p><w:pPr><w:keepNext w:val="false"/><w:keepLines/><w:spacing w:after="8" w:before="0" w:line="80"/><w:jc w:val="left"/></w:pPr><w:r><w:rPr><w:rFonts w:ascii="Calibri" w:cs="Calibri" w:eastAsia="Calibri" w:hAnsi="Calibri"/><w:b w:val="false"/><w:bCs w:val="false"/><w:i w:val="false"/><w:iCs w:val="false"/><w:color w:val="0f172a"/><w:sz w:val="8"/><w:szCs w:val="8"/></w:rPr><w:t xml:space="preserve"></w:t></w:r></w:p><w:tbl><w:tblPr><w:tblW w:type="dxa" w:w="9360"/><w:tblBorders><w:top w:val="single" w:color="a7f3d0" w:sz="4"/><w:left w:val="single" w:color="a7f3d0" w:sz="4"/><w:bottom w:val="single" w:color="a7f3d0" w:sz="4"/><w:right w:val="single" w:color="a7f3d0" w:sz="4"/><w:insideH w:val="single" w:color="a7f3d0" w:sz="4"/><w:insideV w:val="single" w:color="a7f3d0" w:sz="4"/></w:tblBorders></w:tblPr><w:tblGrid><w:gridCol w:w="9360"/></w:tblGrid><w:tr><w:trPr><w:cantSplit/></w:trPr><w:tc><w:tcPr><w:tcW w:type="dxa" w:w="9360"/><w:tcBorders><w:top w:val="single" w:color="a7f3d0" w:sz="4"/><w:left w:val="single" w:color="a7f3d0" w:sz="4"/><w:bottom w:val="single" w:color="a7f3d0" w:sz="4"/><w:right w:val="single" w:color="a7f3d0" w:sz="4"/></w:tcBorders><w:shd w:fill="f0fdf4" w:color="auto" w:val="clear"/><w:tcMar><w:top w:type="dxa" w:w="80"/><w:left w:type="dxa" w:w="140"/><w:bottom w:type="dxa" w:w="80"/><w:right w:type="dxa" w:w="140"/></w:tcMar><w:vAlign w:val="top"/></w:tcPr><w:p><w:pPr><w:keepNext w:val="false"/><w:keepLines/><w:spacing w:after="0" w:before="0" w:line="240"/><w:jc w:val="left"/></w:pPr><w:r><w:rPr><w:rFonts w:ascii="Calibri" w:cs="Calibri" w:eastAsia="Calibri" w:hAnsi="Calibri"/><w:b w:val="false"/><w:bCs w:val="false"/><w:i w:val="false"/><w:iCs w:val="false"/><w:color w:val="0f172a"/><w:sz w:val="18"/><w:szCs w:val="18"/></w:rPr><w:t xml:space="preserve">Use this section when submitting this reference in response to a Sources Sought, RFI, or solicitation. Tailor the two or three bullets most relevant to the agency&apos;s stated evaluation factors.</w:t></w:r></w:p></w:tc></w:tr></w:tbl><w:p><w:pPr><w:keepNext w:val="false"/><w:keepLines/><w:spacing w:after="12" w:before="0" w:line="80"/><w:jc w:val="left"/></w:pPr><w:r><w:rPr><w:rFonts w:ascii="Calibri" w:cs="Calibri" w:eastAsia="Calibri" w:hAnsi="Calibri"/><w:b w:val="false"/><w:bCs w:val="false"/><w:i w:val="false"/><w:iCs w:val="false"/><w:color w:val="0f172a"/><w:sz w:val="12"/><w:szCs w:val="12"/></w:rPr><w:t xml:space="preserve"></w:t></w:r></w:p><w:p><w:pPr><w:keepNext w:val="false"/><w:keepLines/><w:spacing w:after="40" w:before="0" w:line="240"/><w:ind w:left="200" w:hanging="200"/><w:jc w:val="left"/></w:pPr><w:r><w:rPr><w:rFonts w:ascii="Calibri" w:cs="Calibri" w:eastAsia="Calibri" w:hAnsi="Calibri"/><w:b/><w:bCs/><w:i w:val="false"/><w:iCs w:val="false"/><w:color w:val="047857"/><w:sz w:val="18"/><w:szCs w:val="18"/></w:rPr><w:t xml:space="preserve">•  </w:t></w:r><w:r><w:rPr><w:rFonts w:ascii="Calibri" w:cs="Calibri" w:eastAsia="Calibri" w:hAnsi="Calibri"/><w:b w:val="false"/><w:bCs w:val="false"/><w:i w:val="false"/><w:iCs w:val="false"/><w:color w:val="0f172a"/><w:sz w:val="18"/><w:szCs w:val="18"/></w:rPr><w:t xml:space="preserve">5 consecutive years, zero contract deductions — the VA measured us against AQL 95% on high-touch surface disinfection every single month. We hit it every time.</w:t></w:r></w:p><w:p><w:pPr><w:keepNext w:val="false"/><w:keepLines/><w:spacing w:after="40" w:before="0" w:line="240"/><w:ind w:left="200" w:hanging="200"/><w:jc w:val="left"/></w:pPr><w:r><w:rPr><w:rFonts w:ascii="Calibri" w:cs="Calibri" w:eastAsia="Calibri" w:hAnsi="Calibri"/><w:b/><w:bCs/><w:i w:val="false"/><w:iCs w:val="false"/><w:color w:val="047857"/><w:sz w:val="18"/><w:szCs w:val="18"/></w:rPr><w:t xml:space="preserve">•  </w:t></w:r><w:r><w:rPr><w:rFonts w:ascii="Calibri" w:cs="Calibri" w:eastAsia="Calibri" w:hAnsi="Calibri"/><w:b w:val="false"/><w:bCs w:val="false"/><w:i w:val="false"/><w:iCs w:val="false"/><w:color w:val="0f172a"/><w:sz w:val="18"/><w:szCs w:val="18"/></w:rPr><w:t xml:space="preserve">ISSA CIMS-GB certified — not &quot;pursuing&quot; — which means our QA system, chemical inventory, and employee training all meet a third-party verified standard before we ever walk onto a federal campus.</w:t></w:r></w:p><w:p><w:pPr><w:keepNext w:val="false"/><w:keepLines/><w:spacing w:after="40" w:before="0" w:line="240"/><w:ind w:left="200" w:hanging="200"/><w:jc w:val="left"/></w:pPr><w:r><w:rPr><w:rFonts w:ascii="Calibri" w:cs="Calibri" w:eastAsia="Calibri" w:hAnsi="Calibri"/><w:b/><w:bCs/><w:i w:val="false"/><w:iCs w:val="false"/><w:color w:val="047857"/><w:sz w:val="18"/><w:szCs w:val="18"/></w:rPr><w:t xml:space="preserve">•  </w:t></w:r><w:r><w:rPr><w:rFonts w:ascii="Calibri" w:cs="Calibri" w:eastAsia="Calibri" w:hAnsi="Calibri"/><w:b w:val="false"/><w:bCs w:val="false"/><w:i w:val="false"/><w:iCs w:val="false"/><w:color w:val="0f172a"/><w:sz w:val="18"/><w:szCs w:val="18"/></w:rPr><w:t xml:space="preserve">SDVOSB, self-performed — no pass-through risk, no subcontractor coordination gap, and the VA&apos;s small-business credit stays with a firm whose owner actually served.</w:t></w:r></w:p><w:p><w:pPr><w:keepNext w:val="false"/><w:keepLines/><w:spacing w:after="40" w:before="0" w:line="240"/><w:ind w:left="200" w:hanging="200"/><w:jc w:val="left"/></w:pPr><w:r><w:rPr><w:rFonts w:ascii="Calibri" w:cs="Calibri" w:eastAsia="Calibri" w:hAnsi="Calibri"/><w:b/><w:bCs/><w:i w:val="false"/><w:iCs w:val="false"/><w:color w:val="047857"/><w:sz w:val="18"/><w:szCs w:val="18"/></w:rPr><w:t xml:space="preserve">•  </w:t></w:r><w:r><w:rPr><w:rFonts w:ascii="Calibri" w:cs="Calibri" w:eastAsia="Calibri" w:hAnsi="Calibri"/><w:b w:val="false"/><w:bCs w:val="false"/><w:i w:val="false"/><w:iCs w:val="false"/><w:color w:val="0f172a"/><w:sz w:val="18"/><w:szCs w:val="18"/></w:rPr><w:t xml:space="preserve">COVID-era track record: when VA changed the terminal-clean protocol to CDC&apos;s enhanced COVID-19 guidance in April 2020, we retrained 22 FTE and stood up the new protocol within 72 hours of the modification — without a stop-work or cure notice.</w:t></w:r></w:p><w:p><w:pPr><w:keepNext w:val="false"/><w:keepLines/><w:spacing w:after="40" w:before="0" w:line="240"/><w:ind w:left="200" w:hanging="200"/><w:jc w:val="left"/></w:pPr><w:r><w:rPr><w:rFonts w:ascii="Calibri" w:cs="Calibri" w:eastAsia="Calibri" w:hAnsi="Calibri"/><w:b/><w:bCs/><w:i w:val="false"/><w:iCs w:val="false"/><w:color w:val="047857"/><w:sz w:val="18"/><w:szCs w:val="18"/></w:rPr><w:t xml:space="preserve">•  </w:t></w:r><w:r><w:rPr><w:rFonts w:ascii="Calibri" w:cs="Calibri" w:eastAsia="Calibri" w:hAnsi="Calibri"/><w:b w:val="false"/><w:bCs w:val="false"/><w:i w:val="false"/><w:iCs w:val="false"/><w:color w:val="0f172a"/><w:sz w:val="18"/><w:szCs w:val="18"/></w:rPr><w:t xml:space="preserve">Scalable — from a single CBOC (6,000 sq ft) to a 420,000 sq ft full-service medical center campus on the same contract vehicle.</w:t></w:r></w:p><w:p><w:pPr><w:keepNext w:val="false"/><w:keepLines/><w:spacing w:after="20" w:before="0" w:line="80"/><w:jc w:val="left"/></w:pPr><w:r><w:rPr><w:rFonts w:ascii="Calibri" w:cs="Calibri" w:eastAsia="Calibri" w:hAnsi="Calibri"/><w:b w:val="false"/><w:bCs w:val="false"/><w:i w:val="false"/><w:iCs w:val="false"/><w:color w:val="0f172a"/><w:sz w:val="20"/><w:szCs w:val="20"/></w:rPr><w:t xml:space="preserve"></w:t></w:r></w:p><w:tbl><w:tblPr><w:tblW w:type="dxa" w:w="9360"/><w:tblBorders><w:top w:val="none" w:color="FFFFFF" w:sz="0"/><w:left w:val="none" w:color="FFFFFF" w:sz="0"/><w:bottom w:val="none" w:color="FFFFFF" w:sz="0"/><w:right w:val="none" w:color="FFFFFF" w:sz="0"/><w:insideH w:val="none" w:color="FFFFFF" w:sz="0"/><w:insideV w:val="none" w:color="FFFFFF" w:sz="0"/></w:tblBorders></w:tblPr><w:tblGrid><w:gridCol w:w="9360"/></w:tblGrid><w:tr><w:trPr><w:cantSplit/></w:trP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064e3b" w:color="auto" w:val="clear"/><w:tcMar><w:top w:type="dxa" w:w="80"/><w:left w:type="dxa" w:w="140"/><w:bottom w:type="dxa" w:w="80"/><w:right w:type="dxa" w:w="140"/></w:tcMar><w:vAlign w:val="center"/></w:tcPr><w:p><w:pPr><w:keepNext w:val="false"/><w:keepLines/><w:spacing w:after="0" w:before="0" w:line="200"/><w:jc w:val="center"/></w:pPr><w:r><w:rPr><w:rFonts w:ascii="Consolas" w:cs="Consolas" w:eastAsia="Consolas" w:hAnsi="Consolas"/><w:b/><w:bCs/><w:i w:val="false"/><w:iCs w:val="false"/><w:color w:val="a7f3d0"/><w:sz w:val="16"/><w:szCs w:val="16"/></w:rPr><w:t xml:space="preserve">capturepilot.com</w:t></w:r><w:r><w:rPr><w:rFonts w:ascii="Calibri" w:cs="Calibri" w:eastAsia="Calibri" w:hAnsi="Calibri"/><w:b w:val="false"/><w:bCs w:val="false"/><w:i w:val="false"/><w:iCs w:val="false"/><w:color w:val="ffffff"/><w:sz w:val="16"/><w:szCs w:val="16"/></w:rPr><w:t xml:space="preserve">  ·  Federal Lead Kit — Past Performance Reference Templates  ·  FLK_06_Sample_Past_Performance_Janitorial</w:t></w:r></w:p></w:tc></w:tr></w:tbl><w:sectPr><w:pgSz w:w="12240" w:h="15840" w:orient="portrait"/><w:pgMar w:top="1440" w:right="1440" w:bottom="1440" w:left="1440" w:header="431" w:footer="431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Past Performance — VA Medical Center Janitorial Contract</dc:title>
  <dc:creator>CapturePilot</dc:creator>
  <dc:description>Federal Lead Kit · FLK_06 · Apex Custodial Solutions SDVOSB — VA Phoenix HCS</dc:description>
  <cp:lastModifiedBy>Un-named</cp:lastModifiedBy>
  <cp:revision>1</cp:revision>
  <dcterms:created xsi:type="dcterms:W3CDTF">2026-06-10T02:04:34.418Z</dcterms:created>
  <dcterms:modified xsi:type="dcterms:W3CDTF">2026-06-10T02:04:34.419Z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